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112F0" w14:textId="77777777" w:rsidR="00070A07" w:rsidRPr="00000CB3" w:rsidRDefault="00070A07" w:rsidP="009A67D8">
      <w:pPr>
        <w:rPr>
          <w:rFonts w:ascii="Open Sans" w:hAnsi="Open Sans" w:cs="Open Sans"/>
          <w:b/>
          <w:bCs/>
          <w:sz w:val="22"/>
          <w:szCs w:val="22"/>
        </w:rPr>
      </w:pPr>
    </w:p>
    <w:p w14:paraId="45C3F458" w14:textId="77777777" w:rsidR="00070A07" w:rsidRPr="00000CB3" w:rsidRDefault="00070A07" w:rsidP="009A67D8">
      <w:pPr>
        <w:rPr>
          <w:rFonts w:ascii="Open Sans" w:hAnsi="Open Sans" w:cs="Open Sans"/>
          <w:b/>
          <w:bCs/>
          <w:sz w:val="22"/>
          <w:szCs w:val="22"/>
        </w:rPr>
      </w:pPr>
    </w:p>
    <w:p w14:paraId="4F5D2B37" w14:textId="77777777" w:rsidR="00070A07" w:rsidRPr="00000CB3" w:rsidRDefault="00070A07" w:rsidP="009A67D8">
      <w:pPr>
        <w:rPr>
          <w:rFonts w:ascii="Open Sans" w:hAnsi="Open Sans" w:cs="Open Sans"/>
          <w:b/>
          <w:sz w:val="22"/>
          <w:szCs w:val="22"/>
        </w:rPr>
      </w:pPr>
    </w:p>
    <w:p w14:paraId="48704E7D" w14:textId="4B800DB5" w:rsidR="00015697" w:rsidRPr="00015697" w:rsidRDefault="00CD34A0" w:rsidP="00015697">
      <w:pPr>
        <w:rPr>
          <w:rFonts w:ascii="Open Sans" w:hAnsi="Open Sans" w:cs="Open Sans"/>
          <w:b/>
          <w:bCs/>
          <w:sz w:val="32"/>
          <w:szCs w:val="32"/>
        </w:rPr>
      </w:pPr>
      <w:r>
        <w:rPr>
          <w:rFonts w:ascii="Open Sans" w:hAnsi="Open Sans" w:cs="Open Sans"/>
          <w:b/>
          <w:bCs/>
          <w:sz w:val="32"/>
          <w:szCs w:val="32"/>
        </w:rPr>
        <w:t xml:space="preserve">Call for Evidence: </w:t>
      </w:r>
      <w:r w:rsidR="00365A55" w:rsidRPr="00365A55">
        <w:rPr>
          <w:rFonts w:ascii="Open Sans" w:hAnsi="Open Sans" w:cs="Open Sans"/>
          <w:b/>
          <w:bCs/>
          <w:sz w:val="32"/>
          <w:szCs w:val="32"/>
        </w:rPr>
        <w:t xml:space="preserve">More and </w:t>
      </w:r>
      <w:r w:rsidR="00FA6886">
        <w:rPr>
          <w:rFonts w:ascii="Open Sans" w:hAnsi="Open Sans" w:cs="Open Sans"/>
          <w:b/>
          <w:bCs/>
          <w:sz w:val="32"/>
          <w:szCs w:val="32"/>
        </w:rPr>
        <w:t>B</w:t>
      </w:r>
      <w:r w:rsidR="00365A55" w:rsidRPr="00365A55">
        <w:rPr>
          <w:rFonts w:ascii="Open Sans" w:hAnsi="Open Sans" w:cs="Open Sans"/>
          <w:b/>
          <w:bCs/>
          <w:sz w:val="32"/>
          <w:szCs w:val="32"/>
        </w:rPr>
        <w:t xml:space="preserve">etter </w:t>
      </w:r>
      <w:r w:rsidR="00FA6886">
        <w:rPr>
          <w:rFonts w:ascii="Open Sans" w:hAnsi="Open Sans" w:cs="Open Sans"/>
          <w:b/>
          <w:bCs/>
          <w:sz w:val="32"/>
          <w:szCs w:val="32"/>
        </w:rPr>
        <w:t>S</w:t>
      </w:r>
      <w:r w:rsidR="00365A55" w:rsidRPr="00365A55">
        <w:rPr>
          <w:rFonts w:ascii="Open Sans" w:hAnsi="Open Sans" w:cs="Open Sans"/>
          <w:b/>
          <w:bCs/>
          <w:sz w:val="32"/>
          <w:szCs w:val="32"/>
        </w:rPr>
        <w:t xml:space="preserve">ocial </w:t>
      </w:r>
      <w:r w:rsidR="00FA6886">
        <w:rPr>
          <w:rFonts w:ascii="Open Sans" w:hAnsi="Open Sans" w:cs="Open Sans"/>
          <w:b/>
          <w:bCs/>
          <w:sz w:val="32"/>
          <w:szCs w:val="32"/>
        </w:rPr>
        <w:t>H</w:t>
      </w:r>
      <w:r w:rsidR="00365A55" w:rsidRPr="00365A55">
        <w:rPr>
          <w:rFonts w:ascii="Open Sans" w:hAnsi="Open Sans" w:cs="Open Sans"/>
          <w:b/>
          <w:bCs/>
          <w:sz w:val="32"/>
          <w:szCs w:val="32"/>
        </w:rPr>
        <w:t>omes</w:t>
      </w:r>
    </w:p>
    <w:p w14:paraId="0A5FEC68" w14:textId="5BBAA3FA" w:rsidR="000B09EE" w:rsidRPr="001249F2" w:rsidRDefault="001C0566" w:rsidP="000B09EE">
      <w:pPr>
        <w:rPr>
          <w:rFonts w:ascii="Open Sans" w:hAnsi="Open Sans" w:cs="Open Sans"/>
          <w:b/>
          <w:bCs/>
          <w:i/>
          <w:iCs/>
          <w:sz w:val="32"/>
          <w:szCs w:val="32"/>
        </w:rPr>
      </w:pPr>
      <w:r w:rsidRPr="001249F2">
        <w:rPr>
          <w:rFonts w:ascii="Open Sans" w:hAnsi="Open Sans" w:cs="Open Sans"/>
          <w:b/>
          <w:bCs/>
          <w:i/>
          <w:iCs/>
          <w:sz w:val="32"/>
          <w:szCs w:val="32"/>
        </w:rPr>
        <w:t>G15</w:t>
      </w:r>
      <w:r w:rsidR="000B09EE" w:rsidRPr="001249F2">
        <w:rPr>
          <w:rFonts w:ascii="Open Sans" w:hAnsi="Open Sans" w:cs="Open Sans"/>
          <w:b/>
          <w:bCs/>
          <w:i/>
          <w:iCs/>
          <w:sz w:val="32"/>
          <w:szCs w:val="32"/>
        </w:rPr>
        <w:t xml:space="preserve"> Response </w:t>
      </w:r>
      <w:r w:rsidR="00CD34A0">
        <w:rPr>
          <w:rFonts w:ascii="Open Sans" w:hAnsi="Open Sans" w:cs="Open Sans"/>
          <w:b/>
          <w:bCs/>
          <w:i/>
          <w:iCs/>
          <w:sz w:val="32"/>
          <w:szCs w:val="32"/>
        </w:rPr>
        <w:t xml:space="preserve">to the Regulator of Social Housing </w:t>
      </w:r>
    </w:p>
    <w:p w14:paraId="1CFD1A8A" w14:textId="314EE800" w:rsidR="000B09EE" w:rsidRPr="00000CB3" w:rsidRDefault="00CD34A0" w:rsidP="000B09EE">
      <w:pPr>
        <w:rPr>
          <w:rFonts w:ascii="Open Sans" w:hAnsi="Open Sans" w:cs="Open Sans"/>
          <w:b/>
          <w:bCs/>
          <w:sz w:val="32"/>
          <w:szCs w:val="32"/>
        </w:rPr>
      </w:pPr>
      <w:r>
        <w:rPr>
          <w:rFonts w:ascii="Open Sans" w:hAnsi="Open Sans" w:cs="Open Sans"/>
          <w:b/>
          <w:bCs/>
          <w:sz w:val="32"/>
          <w:szCs w:val="32"/>
        </w:rPr>
        <w:t>September</w:t>
      </w:r>
      <w:r w:rsidR="001249F2">
        <w:rPr>
          <w:rFonts w:ascii="Open Sans" w:hAnsi="Open Sans" w:cs="Open Sans"/>
          <w:b/>
          <w:bCs/>
          <w:sz w:val="32"/>
          <w:szCs w:val="32"/>
        </w:rPr>
        <w:t xml:space="preserve"> </w:t>
      </w:r>
      <w:r w:rsidR="00CA6CD3" w:rsidRPr="00000CB3">
        <w:rPr>
          <w:rFonts w:ascii="Open Sans" w:hAnsi="Open Sans" w:cs="Open Sans"/>
          <w:b/>
          <w:bCs/>
          <w:sz w:val="32"/>
          <w:szCs w:val="32"/>
        </w:rPr>
        <w:t>2026</w:t>
      </w:r>
    </w:p>
    <w:p w14:paraId="41D79FF1" w14:textId="77777777" w:rsidR="00070A07" w:rsidRPr="00000CB3" w:rsidRDefault="00070A07" w:rsidP="009A67D8">
      <w:pPr>
        <w:rPr>
          <w:rFonts w:ascii="Open Sans" w:hAnsi="Open Sans" w:cs="Open Sans"/>
          <w:b/>
          <w:bCs/>
          <w:sz w:val="22"/>
          <w:szCs w:val="22"/>
        </w:rPr>
      </w:pPr>
    </w:p>
    <w:p w14:paraId="46214A46" w14:textId="77777777" w:rsidR="00070A07" w:rsidRPr="00000CB3" w:rsidRDefault="00070A07" w:rsidP="009A67D8">
      <w:pPr>
        <w:rPr>
          <w:rFonts w:ascii="Open Sans" w:hAnsi="Open Sans" w:cs="Open Sans"/>
          <w:b/>
          <w:bCs/>
          <w:sz w:val="22"/>
          <w:szCs w:val="22"/>
        </w:rPr>
      </w:pPr>
    </w:p>
    <w:p w14:paraId="42EAA19E" w14:textId="77777777" w:rsidR="00070A07" w:rsidRPr="00000CB3" w:rsidRDefault="00070A07" w:rsidP="009A67D8">
      <w:pPr>
        <w:rPr>
          <w:rFonts w:ascii="Open Sans" w:hAnsi="Open Sans" w:cs="Open Sans"/>
          <w:b/>
          <w:bCs/>
          <w:sz w:val="22"/>
          <w:szCs w:val="22"/>
        </w:rPr>
      </w:pPr>
    </w:p>
    <w:p w14:paraId="46B0DBDD" w14:textId="77777777" w:rsidR="00070A07" w:rsidRPr="00000CB3" w:rsidRDefault="00070A07" w:rsidP="009A67D8">
      <w:pPr>
        <w:rPr>
          <w:rFonts w:ascii="Open Sans" w:hAnsi="Open Sans" w:cs="Open Sans"/>
          <w:b/>
          <w:bCs/>
          <w:sz w:val="22"/>
          <w:szCs w:val="22"/>
        </w:rPr>
      </w:pPr>
    </w:p>
    <w:p w14:paraId="4758CEB1" w14:textId="77777777" w:rsidR="00070A07" w:rsidRPr="00000CB3" w:rsidRDefault="00070A07" w:rsidP="009A67D8">
      <w:pPr>
        <w:rPr>
          <w:rFonts w:ascii="Open Sans" w:hAnsi="Open Sans" w:cs="Open Sans"/>
          <w:b/>
          <w:bCs/>
          <w:sz w:val="22"/>
          <w:szCs w:val="22"/>
        </w:rPr>
      </w:pPr>
    </w:p>
    <w:p w14:paraId="15D1E760" w14:textId="77777777" w:rsidR="00070A07" w:rsidRPr="00000CB3" w:rsidRDefault="00070A07" w:rsidP="009A67D8">
      <w:pPr>
        <w:rPr>
          <w:rFonts w:ascii="Open Sans" w:hAnsi="Open Sans" w:cs="Open Sans"/>
          <w:b/>
          <w:bCs/>
          <w:sz w:val="22"/>
          <w:szCs w:val="22"/>
        </w:rPr>
      </w:pPr>
    </w:p>
    <w:p w14:paraId="6E2F4D1A" w14:textId="77777777" w:rsidR="00070A07" w:rsidRPr="00000CB3" w:rsidRDefault="00070A07" w:rsidP="009A67D8">
      <w:pPr>
        <w:rPr>
          <w:rFonts w:ascii="Open Sans" w:hAnsi="Open Sans" w:cs="Open Sans"/>
          <w:b/>
          <w:bCs/>
          <w:sz w:val="22"/>
          <w:szCs w:val="22"/>
        </w:rPr>
      </w:pPr>
    </w:p>
    <w:p w14:paraId="5368E1E1" w14:textId="77777777" w:rsidR="00070A07" w:rsidRPr="00000CB3" w:rsidRDefault="00070A07" w:rsidP="009A67D8">
      <w:pPr>
        <w:rPr>
          <w:rFonts w:ascii="Open Sans" w:hAnsi="Open Sans" w:cs="Open Sans"/>
          <w:b/>
          <w:bCs/>
          <w:sz w:val="22"/>
          <w:szCs w:val="22"/>
        </w:rPr>
      </w:pPr>
    </w:p>
    <w:p w14:paraId="30F4DF53" w14:textId="77777777" w:rsidR="00070A07" w:rsidRPr="00000CB3" w:rsidRDefault="00070A07" w:rsidP="009A67D8">
      <w:pPr>
        <w:rPr>
          <w:rFonts w:ascii="Open Sans" w:hAnsi="Open Sans" w:cs="Open Sans"/>
          <w:b/>
          <w:bCs/>
          <w:sz w:val="22"/>
          <w:szCs w:val="22"/>
        </w:rPr>
      </w:pPr>
    </w:p>
    <w:p w14:paraId="4BF0D709" w14:textId="77777777" w:rsidR="00070A07" w:rsidRPr="00000CB3" w:rsidRDefault="00070A07" w:rsidP="009A67D8">
      <w:pPr>
        <w:rPr>
          <w:rFonts w:ascii="Open Sans" w:hAnsi="Open Sans" w:cs="Open Sans"/>
          <w:b/>
          <w:bCs/>
          <w:sz w:val="22"/>
          <w:szCs w:val="22"/>
        </w:rPr>
      </w:pPr>
    </w:p>
    <w:p w14:paraId="61A26539" w14:textId="77777777" w:rsidR="00070A07" w:rsidRPr="00000CB3" w:rsidRDefault="00070A07" w:rsidP="009A67D8">
      <w:pPr>
        <w:rPr>
          <w:rFonts w:ascii="Open Sans" w:hAnsi="Open Sans" w:cs="Open Sans"/>
          <w:b/>
          <w:bCs/>
          <w:sz w:val="22"/>
          <w:szCs w:val="22"/>
        </w:rPr>
      </w:pPr>
    </w:p>
    <w:p w14:paraId="0960D00C" w14:textId="77777777" w:rsidR="00070A07" w:rsidRPr="00000CB3" w:rsidRDefault="00070A07" w:rsidP="009A67D8">
      <w:pPr>
        <w:rPr>
          <w:rFonts w:ascii="Open Sans" w:hAnsi="Open Sans" w:cs="Open Sans"/>
          <w:b/>
          <w:bCs/>
          <w:sz w:val="22"/>
          <w:szCs w:val="22"/>
        </w:rPr>
      </w:pPr>
    </w:p>
    <w:p w14:paraId="1FB87591" w14:textId="77777777" w:rsidR="00070A07" w:rsidRPr="00000CB3" w:rsidRDefault="00070A07" w:rsidP="009A67D8">
      <w:pPr>
        <w:rPr>
          <w:rFonts w:ascii="Open Sans" w:hAnsi="Open Sans" w:cs="Open Sans"/>
          <w:b/>
          <w:bCs/>
          <w:sz w:val="22"/>
          <w:szCs w:val="22"/>
        </w:rPr>
      </w:pPr>
    </w:p>
    <w:p w14:paraId="78284E48" w14:textId="77777777" w:rsidR="00070A07" w:rsidRPr="00000CB3" w:rsidRDefault="00070A07" w:rsidP="009A67D8">
      <w:pPr>
        <w:rPr>
          <w:rFonts w:ascii="Open Sans" w:hAnsi="Open Sans" w:cs="Open Sans"/>
          <w:b/>
          <w:bCs/>
          <w:sz w:val="22"/>
          <w:szCs w:val="22"/>
        </w:rPr>
      </w:pPr>
    </w:p>
    <w:p w14:paraId="42083F5C" w14:textId="77777777" w:rsidR="00070A07" w:rsidRPr="00000CB3" w:rsidRDefault="00070A07" w:rsidP="009A67D8">
      <w:pPr>
        <w:rPr>
          <w:rFonts w:ascii="Open Sans" w:hAnsi="Open Sans" w:cs="Open Sans"/>
          <w:b/>
          <w:bCs/>
          <w:sz w:val="22"/>
          <w:szCs w:val="22"/>
        </w:rPr>
      </w:pPr>
    </w:p>
    <w:p w14:paraId="59F512DC" w14:textId="77777777" w:rsidR="00070A07" w:rsidRPr="00000CB3" w:rsidRDefault="00070A07" w:rsidP="009A67D8">
      <w:pPr>
        <w:rPr>
          <w:rFonts w:ascii="Open Sans" w:hAnsi="Open Sans" w:cs="Open Sans"/>
          <w:b/>
          <w:bCs/>
          <w:sz w:val="22"/>
          <w:szCs w:val="22"/>
        </w:rPr>
      </w:pPr>
    </w:p>
    <w:p w14:paraId="49E84734" w14:textId="77777777" w:rsidR="00070A07" w:rsidRPr="00000CB3" w:rsidRDefault="00070A07" w:rsidP="009A67D8">
      <w:pPr>
        <w:rPr>
          <w:rFonts w:ascii="Open Sans" w:hAnsi="Open Sans" w:cs="Open Sans"/>
          <w:b/>
          <w:bCs/>
          <w:sz w:val="22"/>
          <w:szCs w:val="22"/>
        </w:rPr>
      </w:pPr>
    </w:p>
    <w:p w14:paraId="7FF33D48" w14:textId="77777777" w:rsidR="00070A07" w:rsidRPr="00000CB3" w:rsidRDefault="00070A07" w:rsidP="009A67D8">
      <w:pPr>
        <w:rPr>
          <w:rFonts w:ascii="Open Sans" w:hAnsi="Open Sans" w:cs="Open Sans"/>
          <w:b/>
          <w:bCs/>
          <w:sz w:val="22"/>
          <w:szCs w:val="22"/>
        </w:rPr>
      </w:pPr>
    </w:p>
    <w:p w14:paraId="0751A716" w14:textId="77777777" w:rsidR="00070A07" w:rsidRPr="00000CB3" w:rsidRDefault="00070A07" w:rsidP="009A67D8">
      <w:pPr>
        <w:rPr>
          <w:rFonts w:ascii="Open Sans" w:hAnsi="Open Sans" w:cs="Open Sans"/>
          <w:b/>
          <w:bCs/>
          <w:sz w:val="22"/>
          <w:szCs w:val="22"/>
        </w:rPr>
      </w:pPr>
    </w:p>
    <w:p w14:paraId="41281296" w14:textId="77777777" w:rsidR="00DF44B8" w:rsidRDefault="00DF44B8" w:rsidP="009A67D8">
      <w:pPr>
        <w:rPr>
          <w:rFonts w:ascii="Open Sans" w:hAnsi="Open Sans" w:cs="Open Sans"/>
          <w:b/>
          <w:bCs/>
          <w:sz w:val="22"/>
          <w:szCs w:val="22"/>
        </w:rPr>
      </w:pPr>
    </w:p>
    <w:p w14:paraId="616C3172" w14:textId="77777777" w:rsidR="00DF44B8" w:rsidRDefault="00DF44B8" w:rsidP="009A67D8">
      <w:pPr>
        <w:rPr>
          <w:rFonts w:ascii="Open Sans" w:hAnsi="Open Sans" w:cs="Open Sans"/>
          <w:b/>
          <w:bCs/>
          <w:sz w:val="22"/>
          <w:szCs w:val="22"/>
        </w:rPr>
      </w:pPr>
    </w:p>
    <w:p w14:paraId="26E11D31" w14:textId="395DE021" w:rsidR="00333348" w:rsidRPr="00000CB3" w:rsidRDefault="00333348" w:rsidP="009A67D8">
      <w:pPr>
        <w:rPr>
          <w:rFonts w:ascii="Open Sans" w:hAnsi="Open Sans" w:cs="Open Sans"/>
          <w:b/>
          <w:bCs/>
          <w:sz w:val="22"/>
          <w:szCs w:val="22"/>
        </w:rPr>
      </w:pPr>
      <w:r w:rsidRPr="00000CB3">
        <w:rPr>
          <w:rFonts w:ascii="Open Sans" w:hAnsi="Open Sans" w:cs="Open Sans"/>
          <w:b/>
          <w:bCs/>
          <w:sz w:val="22"/>
          <w:szCs w:val="22"/>
        </w:rPr>
        <w:t xml:space="preserve">About the G15 </w:t>
      </w:r>
    </w:p>
    <w:p w14:paraId="0BB8F03D" w14:textId="77777777" w:rsidR="00880960" w:rsidRPr="00000CB3" w:rsidRDefault="00880960" w:rsidP="00E93B5B">
      <w:pPr>
        <w:jc w:val="both"/>
        <w:rPr>
          <w:rFonts w:ascii="Open Sans" w:hAnsi="Open Sans" w:cs="Open Sans"/>
          <w:sz w:val="22"/>
          <w:szCs w:val="22"/>
        </w:rPr>
      </w:pPr>
      <w:r w:rsidRPr="00000CB3">
        <w:rPr>
          <w:rFonts w:ascii="Open Sans" w:hAnsi="Open Sans" w:cs="Open Sans"/>
          <w:sz w:val="22"/>
          <w:szCs w:val="22"/>
        </w:rPr>
        <w:t>The G15 is made up of London’s leading housing associations. The G15’s members provide more than 880,000 homes across the country, including around one in ten homes for Londoners. The G15 represents the largest providers of new affordable homes in London and accounts for approximately 15% of all affordable homes built across England. Over the last few years, our members have funded and delivered more than 56,000 new homes in partnership with the Mayor of London. Delivering good quality safe homes for our residents is our number one priority. Last year our members invested almost £2bn in improvement works and repairs to people's homes, ensuring people can live well. Together, we are the largest providers of new affordable homes in London and a significant proportion of all affordable homes across England. It’s what we were set up to do and what we’re committed to achieving. We are independent, charitable organisations and all the money we make is reinvested in building more affordable homes and delivering services for our residents.</w:t>
      </w:r>
    </w:p>
    <w:p w14:paraId="44527234" w14:textId="6DE88165" w:rsidR="00333348" w:rsidRPr="00000CB3" w:rsidRDefault="00333348" w:rsidP="009A67D8">
      <w:pPr>
        <w:rPr>
          <w:rFonts w:ascii="Open Sans" w:hAnsi="Open Sans" w:cs="Open Sans"/>
          <w:sz w:val="22"/>
          <w:szCs w:val="22"/>
        </w:rPr>
      </w:pPr>
      <w:r w:rsidRPr="00000CB3">
        <w:rPr>
          <w:rFonts w:ascii="Open Sans" w:hAnsi="Open Sans" w:cs="Open Sans"/>
          <w:sz w:val="22"/>
          <w:szCs w:val="22"/>
        </w:rPr>
        <w:t xml:space="preserve">Find out more and see our latest updates on our website: </w:t>
      </w:r>
      <w:hyperlink r:id="rId10" w:history="1">
        <w:r w:rsidRPr="00000CB3">
          <w:rPr>
            <w:rStyle w:val="Hyperlink"/>
            <w:rFonts w:ascii="Open Sans" w:hAnsi="Open Sans" w:cs="Open Sans"/>
            <w:sz w:val="22"/>
            <w:szCs w:val="22"/>
          </w:rPr>
          <w:t>www.g15.london</w:t>
        </w:r>
      </w:hyperlink>
      <w:r w:rsidRPr="00000CB3">
        <w:rPr>
          <w:rFonts w:ascii="Open Sans" w:hAnsi="Open Sans" w:cs="Open Sans"/>
          <w:sz w:val="22"/>
          <w:szCs w:val="22"/>
        </w:rPr>
        <w:t xml:space="preserve"> </w:t>
      </w:r>
    </w:p>
    <w:p w14:paraId="0B00B86F" w14:textId="35B0379E" w:rsidR="00333348" w:rsidRPr="00000CB3" w:rsidRDefault="00333348" w:rsidP="009A67D8">
      <w:pPr>
        <w:rPr>
          <w:rFonts w:ascii="Open Sans" w:hAnsi="Open Sans" w:cs="Open Sans"/>
          <w:sz w:val="22"/>
          <w:szCs w:val="22"/>
        </w:rPr>
      </w:pPr>
      <w:r w:rsidRPr="00000CB3">
        <w:rPr>
          <w:rFonts w:ascii="Open Sans" w:hAnsi="Open Sans" w:cs="Open Sans"/>
          <w:sz w:val="22"/>
          <w:szCs w:val="22"/>
        </w:rPr>
        <w:t>The G15 members are:</w:t>
      </w:r>
    </w:p>
    <w:p w14:paraId="6134CA15" w14:textId="77777777"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A2Dominion</w:t>
      </w:r>
    </w:p>
    <w:p w14:paraId="757F1579" w14:textId="77777777"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Clarion Housing Group</w:t>
      </w:r>
    </w:p>
    <w:p w14:paraId="3EA251B3" w14:textId="77777777"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The Guinness Partnership</w:t>
      </w:r>
    </w:p>
    <w:p w14:paraId="1D3C5BE4" w14:textId="6B5F35DD"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Hyde</w:t>
      </w:r>
    </w:p>
    <w:p w14:paraId="01C39B7F" w14:textId="77777777"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L&amp;Q</w:t>
      </w:r>
    </w:p>
    <w:p w14:paraId="3D26D2CC" w14:textId="014651FA"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MTVH</w:t>
      </w:r>
    </w:p>
    <w:p w14:paraId="70E02569" w14:textId="77777777"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Sovereign Network Group</w:t>
      </w:r>
    </w:p>
    <w:p w14:paraId="3194DEB4" w14:textId="77777777"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Notting Hill Genesis</w:t>
      </w:r>
    </w:p>
    <w:p w14:paraId="36231E2A" w14:textId="77777777" w:rsidR="00793C33"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Peabody</w:t>
      </w:r>
    </w:p>
    <w:p w14:paraId="19C25BCA" w14:textId="372C3612" w:rsidR="00793C33"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Riverside</w:t>
      </w:r>
    </w:p>
    <w:p w14:paraId="478BF511" w14:textId="706625BB" w:rsidR="00333348" w:rsidRPr="00000CB3" w:rsidRDefault="00333348" w:rsidP="00B233B2">
      <w:pPr>
        <w:pStyle w:val="ListParagraph"/>
        <w:numPr>
          <w:ilvl w:val="0"/>
          <w:numId w:val="1"/>
        </w:numPr>
        <w:rPr>
          <w:rFonts w:ascii="Open Sans" w:hAnsi="Open Sans" w:cs="Open Sans"/>
          <w:sz w:val="22"/>
          <w:szCs w:val="22"/>
        </w:rPr>
      </w:pPr>
      <w:r w:rsidRPr="00000CB3">
        <w:rPr>
          <w:rFonts w:ascii="Open Sans" w:hAnsi="Open Sans" w:cs="Open Sans"/>
          <w:sz w:val="22"/>
          <w:szCs w:val="22"/>
        </w:rPr>
        <w:t xml:space="preserve">Southern Housing </w:t>
      </w:r>
    </w:p>
    <w:p w14:paraId="53180172" w14:textId="3282CB41" w:rsidR="00333348" w:rsidRPr="00000CB3" w:rsidRDefault="00333348" w:rsidP="009A67D8">
      <w:pPr>
        <w:rPr>
          <w:rFonts w:ascii="Open Sans" w:hAnsi="Open Sans" w:cs="Open Sans"/>
          <w:sz w:val="22"/>
          <w:szCs w:val="22"/>
        </w:rPr>
      </w:pPr>
      <w:r w:rsidRPr="00000CB3">
        <w:rPr>
          <w:rFonts w:ascii="Open Sans" w:hAnsi="Open Sans" w:cs="Open Sans"/>
          <w:sz w:val="22"/>
          <w:szCs w:val="22"/>
        </w:rPr>
        <w:t>For more information, please contact: G15@</w:t>
      </w:r>
      <w:r w:rsidR="00075ED7" w:rsidRPr="00000CB3">
        <w:rPr>
          <w:rFonts w:ascii="Open Sans" w:hAnsi="Open Sans" w:cs="Open Sans"/>
          <w:sz w:val="22"/>
          <w:szCs w:val="22"/>
        </w:rPr>
        <w:t>Peabody</w:t>
      </w:r>
      <w:r w:rsidRPr="00000CB3">
        <w:rPr>
          <w:rFonts w:ascii="Open Sans" w:hAnsi="Open Sans" w:cs="Open Sans"/>
          <w:sz w:val="22"/>
          <w:szCs w:val="22"/>
        </w:rPr>
        <w:t>.org.uk</w:t>
      </w:r>
    </w:p>
    <w:p w14:paraId="0CE4ABCF" w14:textId="77777777" w:rsidR="00D814E2" w:rsidRPr="00000CB3" w:rsidRDefault="00D814E2" w:rsidP="002A4F99">
      <w:pPr>
        <w:rPr>
          <w:rFonts w:ascii="Open Sans" w:hAnsi="Open Sans" w:cs="Open Sans"/>
          <w:b/>
          <w:bCs/>
          <w:sz w:val="22"/>
          <w:szCs w:val="22"/>
        </w:rPr>
      </w:pPr>
    </w:p>
    <w:p w14:paraId="7EB1930D" w14:textId="77777777" w:rsidR="00D814E2" w:rsidRPr="00000CB3" w:rsidRDefault="00D814E2" w:rsidP="002A4F99">
      <w:pPr>
        <w:rPr>
          <w:rFonts w:ascii="Open Sans" w:hAnsi="Open Sans" w:cs="Open Sans"/>
          <w:b/>
          <w:bCs/>
          <w:sz w:val="22"/>
          <w:szCs w:val="22"/>
        </w:rPr>
      </w:pPr>
    </w:p>
    <w:p w14:paraId="654A4431" w14:textId="77777777" w:rsidR="00D814E2" w:rsidRDefault="00D814E2" w:rsidP="002A4F99">
      <w:pPr>
        <w:rPr>
          <w:rFonts w:ascii="Open Sans" w:hAnsi="Open Sans" w:cs="Open Sans"/>
          <w:b/>
          <w:bCs/>
          <w:sz w:val="22"/>
          <w:szCs w:val="22"/>
        </w:rPr>
      </w:pPr>
    </w:p>
    <w:p w14:paraId="5093C8C9" w14:textId="77777777" w:rsidR="004A3745" w:rsidRDefault="004A3745" w:rsidP="002A4F99">
      <w:pPr>
        <w:rPr>
          <w:rFonts w:ascii="Open Sans" w:hAnsi="Open Sans" w:cs="Open Sans"/>
          <w:b/>
          <w:bCs/>
          <w:sz w:val="22"/>
          <w:szCs w:val="22"/>
        </w:rPr>
      </w:pPr>
    </w:p>
    <w:p w14:paraId="2135B02E" w14:textId="77777777" w:rsidR="002268AC" w:rsidRDefault="002268AC" w:rsidP="007F42F9">
      <w:pPr>
        <w:pStyle w:val="paragraph"/>
        <w:spacing w:before="0" w:beforeAutospacing="0" w:after="120" w:afterAutospacing="0"/>
        <w:textAlignment w:val="baseline"/>
        <w:rPr>
          <w:rStyle w:val="normaltextrun"/>
          <w:rFonts w:ascii="Open Sans" w:eastAsiaTheme="majorEastAsia" w:hAnsi="Open Sans" w:cs="Open Sans"/>
          <w:b/>
          <w:bCs/>
          <w:sz w:val="22"/>
          <w:szCs w:val="22"/>
        </w:rPr>
      </w:pPr>
    </w:p>
    <w:p w14:paraId="55EB8020" w14:textId="77777777" w:rsidR="00DF44B8" w:rsidRDefault="00DF44B8" w:rsidP="007F42F9">
      <w:pPr>
        <w:pStyle w:val="paragraph"/>
        <w:spacing w:before="0" w:beforeAutospacing="0" w:after="120" w:afterAutospacing="0"/>
        <w:textAlignment w:val="baseline"/>
        <w:rPr>
          <w:rStyle w:val="normaltextrun"/>
          <w:rFonts w:ascii="Open Sans" w:eastAsiaTheme="majorEastAsia" w:hAnsi="Open Sans" w:cs="Open Sans"/>
          <w:b/>
          <w:bCs/>
          <w:sz w:val="22"/>
          <w:szCs w:val="22"/>
        </w:rPr>
      </w:pPr>
    </w:p>
    <w:p w14:paraId="64E57B73" w14:textId="77777777" w:rsidR="00DF44B8" w:rsidRDefault="00DF44B8" w:rsidP="007F42F9">
      <w:pPr>
        <w:pStyle w:val="paragraph"/>
        <w:spacing w:before="0" w:beforeAutospacing="0" w:after="120" w:afterAutospacing="0"/>
        <w:textAlignment w:val="baseline"/>
        <w:rPr>
          <w:rStyle w:val="normaltextrun"/>
          <w:rFonts w:ascii="Open Sans" w:eastAsiaTheme="majorEastAsia" w:hAnsi="Open Sans" w:cs="Open Sans"/>
          <w:b/>
          <w:bCs/>
          <w:sz w:val="22"/>
          <w:szCs w:val="22"/>
        </w:rPr>
      </w:pPr>
    </w:p>
    <w:p w14:paraId="5737DB88" w14:textId="77777777" w:rsidR="00DF44B8" w:rsidRDefault="00DF44B8" w:rsidP="007F42F9">
      <w:pPr>
        <w:pStyle w:val="paragraph"/>
        <w:spacing w:before="0" w:beforeAutospacing="0" w:after="120" w:afterAutospacing="0"/>
        <w:textAlignment w:val="baseline"/>
        <w:rPr>
          <w:rStyle w:val="normaltextrun"/>
          <w:rFonts w:ascii="Open Sans" w:eastAsiaTheme="majorEastAsia" w:hAnsi="Open Sans" w:cs="Open Sans"/>
          <w:b/>
          <w:bCs/>
          <w:sz w:val="22"/>
          <w:szCs w:val="22"/>
        </w:rPr>
      </w:pPr>
    </w:p>
    <w:p w14:paraId="07F1E2EC" w14:textId="719B8F0C" w:rsidR="00BC6A19" w:rsidRDefault="00D07871" w:rsidP="00F06847">
      <w:pPr>
        <w:pStyle w:val="paragraph"/>
        <w:spacing w:before="0" w:beforeAutospacing="0" w:after="120" w:afterAutospacing="0"/>
        <w:textAlignment w:val="baseline"/>
        <w:rPr>
          <w:rStyle w:val="normaltextrun"/>
          <w:rFonts w:ascii="Open Sans" w:eastAsiaTheme="majorEastAsia" w:hAnsi="Open Sans" w:cs="Open Sans"/>
          <w:b/>
          <w:bCs/>
          <w:sz w:val="22"/>
          <w:szCs w:val="22"/>
        </w:rPr>
      </w:pPr>
      <w:r w:rsidRPr="00CC7C29">
        <w:rPr>
          <w:rStyle w:val="normaltextrun"/>
          <w:rFonts w:ascii="Open Sans" w:eastAsiaTheme="majorEastAsia" w:hAnsi="Open Sans" w:cs="Open Sans"/>
          <w:b/>
          <w:bCs/>
          <w:sz w:val="22"/>
          <w:szCs w:val="22"/>
        </w:rPr>
        <w:t>Position</w:t>
      </w:r>
      <w:r w:rsidR="00BC6A19">
        <w:rPr>
          <w:rStyle w:val="normaltextrun"/>
          <w:rFonts w:ascii="Open Sans" w:eastAsiaTheme="majorEastAsia" w:hAnsi="Open Sans" w:cs="Open Sans"/>
          <w:b/>
          <w:bCs/>
          <w:sz w:val="22"/>
          <w:szCs w:val="22"/>
        </w:rPr>
        <w:t xml:space="preserve"> Statemen</w:t>
      </w:r>
      <w:r w:rsidR="001C3DE1">
        <w:rPr>
          <w:rStyle w:val="normaltextrun"/>
          <w:rFonts w:ascii="Open Sans" w:eastAsiaTheme="majorEastAsia" w:hAnsi="Open Sans" w:cs="Open Sans"/>
          <w:b/>
          <w:bCs/>
          <w:sz w:val="22"/>
          <w:szCs w:val="22"/>
        </w:rPr>
        <w:t>t</w:t>
      </w:r>
    </w:p>
    <w:p w14:paraId="43C11F41" w14:textId="5F19A1B6" w:rsidR="00E2630D" w:rsidRPr="00E2630D" w:rsidRDefault="009C7F07" w:rsidP="00F06847">
      <w:pPr>
        <w:pStyle w:val="paragraph"/>
        <w:spacing w:before="0" w:beforeAutospacing="0" w:after="120" w:afterAutospacing="0"/>
        <w:textAlignment w:val="baseline"/>
        <w:rPr>
          <w:rFonts w:ascii="Open Sans" w:eastAsiaTheme="majorEastAsia" w:hAnsi="Open Sans" w:cs="Open Sans"/>
          <w:sz w:val="22"/>
          <w:szCs w:val="22"/>
        </w:rPr>
      </w:pPr>
      <w:r w:rsidRPr="009C7F07">
        <w:rPr>
          <w:rFonts w:ascii="Open Sans" w:eastAsiaTheme="majorEastAsia" w:hAnsi="Open Sans" w:cs="Open Sans"/>
          <w:sz w:val="22"/>
          <w:szCs w:val="22"/>
        </w:rPr>
        <w:t xml:space="preserve">The review of economic regulation comes at a point when </w:t>
      </w:r>
      <w:r w:rsidR="000D2360">
        <w:rPr>
          <w:rFonts w:ascii="Open Sans" w:eastAsiaTheme="majorEastAsia" w:hAnsi="Open Sans" w:cs="Open Sans"/>
          <w:sz w:val="22"/>
          <w:szCs w:val="22"/>
        </w:rPr>
        <w:t>r</w:t>
      </w:r>
      <w:r w:rsidR="007A2E11">
        <w:rPr>
          <w:rFonts w:ascii="Open Sans" w:eastAsiaTheme="majorEastAsia" w:hAnsi="Open Sans" w:cs="Open Sans"/>
          <w:sz w:val="22"/>
          <w:szCs w:val="22"/>
        </w:rPr>
        <w:t>egistere</w:t>
      </w:r>
      <w:r w:rsidR="004644F6">
        <w:rPr>
          <w:rFonts w:ascii="Open Sans" w:eastAsiaTheme="majorEastAsia" w:hAnsi="Open Sans" w:cs="Open Sans"/>
          <w:sz w:val="22"/>
          <w:szCs w:val="22"/>
        </w:rPr>
        <w:t xml:space="preserve">d </w:t>
      </w:r>
      <w:r w:rsidRPr="009C7F07">
        <w:rPr>
          <w:rFonts w:ascii="Open Sans" w:eastAsiaTheme="majorEastAsia" w:hAnsi="Open Sans" w:cs="Open Sans"/>
          <w:sz w:val="22"/>
          <w:szCs w:val="22"/>
        </w:rPr>
        <w:t xml:space="preserve">providers </w:t>
      </w:r>
      <w:r w:rsidR="00020B55">
        <w:rPr>
          <w:rFonts w:ascii="Open Sans" w:eastAsiaTheme="majorEastAsia" w:hAnsi="Open Sans" w:cs="Open Sans"/>
          <w:sz w:val="22"/>
          <w:szCs w:val="22"/>
        </w:rPr>
        <w:t>(RP</w:t>
      </w:r>
      <w:r w:rsidR="00E06731">
        <w:rPr>
          <w:rFonts w:ascii="Open Sans" w:eastAsiaTheme="majorEastAsia" w:hAnsi="Open Sans" w:cs="Open Sans"/>
          <w:sz w:val="22"/>
          <w:szCs w:val="22"/>
        </w:rPr>
        <w:t>s</w:t>
      </w:r>
      <w:r w:rsidR="00774CDE">
        <w:rPr>
          <w:rFonts w:ascii="Open Sans" w:eastAsiaTheme="majorEastAsia" w:hAnsi="Open Sans" w:cs="Open Sans"/>
          <w:sz w:val="22"/>
          <w:szCs w:val="22"/>
        </w:rPr>
        <w:t xml:space="preserve">) </w:t>
      </w:r>
      <w:r w:rsidRPr="009C7F07">
        <w:rPr>
          <w:rFonts w:ascii="Open Sans" w:eastAsiaTheme="majorEastAsia" w:hAnsi="Open Sans" w:cs="Open Sans"/>
          <w:sz w:val="22"/>
          <w:szCs w:val="22"/>
        </w:rPr>
        <w:t>are balancing substantial investment in residents’ existing homes, safety and services with the need to deliver more social homes and maintain long-term financial resilience.</w:t>
      </w:r>
      <w:r w:rsidR="00E2630D" w:rsidRPr="00E2630D">
        <w:rPr>
          <w:rFonts w:ascii="Open Sans" w:eastAsiaTheme="majorEastAsia" w:hAnsi="Open Sans" w:cs="Open Sans"/>
          <w:sz w:val="22"/>
          <w:szCs w:val="22"/>
        </w:rPr>
        <w:t xml:space="preserve"> </w:t>
      </w:r>
      <w:r w:rsidR="001E776B" w:rsidRPr="001E776B">
        <w:rPr>
          <w:rFonts w:ascii="Open Sans" w:eastAsiaTheme="majorEastAsia" w:hAnsi="Open Sans" w:cs="Open Sans"/>
          <w:sz w:val="22"/>
          <w:szCs w:val="22"/>
        </w:rPr>
        <w:t>These priorities draw on the same underlying financial resources, organisational capacity and risk headroom. Providers are also implementing a growing range of statutory and regulatory requirements affecting existing homes and services. The future framework needs to recognise the cumulative effect of these demands and the practical limits on how far competing objectives can be pursued at the same time.</w:t>
      </w:r>
    </w:p>
    <w:p w14:paraId="6793D68F" w14:textId="60992F3B" w:rsidR="00E2630D" w:rsidRPr="00E2630D" w:rsidRDefault="00E2630D" w:rsidP="00E2630D">
      <w:pPr>
        <w:pStyle w:val="paragraph"/>
        <w:spacing w:before="0" w:beforeAutospacing="0" w:after="120" w:afterAutospacing="0"/>
        <w:textAlignment w:val="baseline"/>
        <w:rPr>
          <w:rFonts w:ascii="Open Sans" w:eastAsiaTheme="majorEastAsia" w:hAnsi="Open Sans" w:cs="Open Sans"/>
          <w:sz w:val="22"/>
          <w:szCs w:val="22"/>
        </w:rPr>
      </w:pPr>
      <w:r w:rsidRPr="00E2630D">
        <w:rPr>
          <w:rFonts w:ascii="Open Sans" w:eastAsiaTheme="majorEastAsia" w:hAnsi="Open Sans" w:cs="Open Sans"/>
          <w:sz w:val="22"/>
          <w:szCs w:val="22"/>
        </w:rPr>
        <w:t xml:space="preserve">Strong, proportionate regulation is an important part of this. It </w:t>
      </w:r>
      <w:r w:rsidRPr="00B16B33">
        <w:rPr>
          <w:rFonts w:ascii="Open Sans" w:eastAsiaTheme="majorEastAsia" w:hAnsi="Open Sans" w:cs="Open Sans"/>
          <w:sz w:val="22"/>
          <w:szCs w:val="22"/>
        </w:rPr>
        <w:t xml:space="preserve">provides assurance to residents, lenders and investors, supports confidence in the sector and helps providers access the long-term finance needed to invest in existing and new homes. </w:t>
      </w:r>
      <w:r w:rsidR="00F06847" w:rsidRPr="00B16B33">
        <w:rPr>
          <w:rFonts w:ascii="Open Sans" w:eastAsiaTheme="majorEastAsia" w:hAnsi="Open Sans" w:cs="Open Sans"/>
          <w:sz w:val="22"/>
          <w:szCs w:val="22"/>
        </w:rPr>
        <w:t>The next economic framework should build on this strength</w:t>
      </w:r>
      <w:r w:rsidR="008A4956">
        <w:rPr>
          <w:rFonts w:ascii="Open Sans" w:eastAsiaTheme="majorEastAsia" w:hAnsi="Open Sans" w:cs="Open Sans"/>
          <w:sz w:val="22"/>
          <w:szCs w:val="22"/>
        </w:rPr>
        <w:t xml:space="preserve"> and make</w:t>
      </w:r>
      <w:r w:rsidR="008F4F39" w:rsidRPr="00B16B33">
        <w:rPr>
          <w:rFonts w:ascii="Open Sans" w:eastAsiaTheme="majorEastAsia" w:hAnsi="Open Sans" w:cs="Open Sans"/>
          <w:sz w:val="22"/>
          <w:szCs w:val="22"/>
        </w:rPr>
        <w:t xml:space="preserve"> co-regulation a clear organising principle. </w:t>
      </w:r>
      <w:r w:rsidR="006E1706" w:rsidRPr="00B16B33">
        <w:rPr>
          <w:rFonts w:ascii="Open Sans" w:eastAsiaTheme="majorEastAsia" w:hAnsi="Open Sans" w:cs="Open Sans"/>
          <w:sz w:val="22"/>
          <w:szCs w:val="22"/>
        </w:rPr>
        <w:t xml:space="preserve">The Regulator of Social Housing (RSH) </w:t>
      </w:r>
      <w:r w:rsidR="000460CB" w:rsidRPr="00B16B33">
        <w:rPr>
          <w:rFonts w:ascii="Open Sans" w:eastAsiaTheme="majorEastAsia" w:hAnsi="Open Sans" w:cs="Open Sans"/>
          <w:sz w:val="22"/>
          <w:szCs w:val="22"/>
        </w:rPr>
        <w:t>should set the regulatory outcomes and parameters within which providers operate, while Boards remain accountable for strategy, risk appetite and investment decisions. Regulatory scrutiny should test governance, evidence and compliance without substituting RSH's judgement for that of the Board.</w:t>
      </w:r>
      <w:r w:rsidR="00540514" w:rsidRPr="00B16B33">
        <w:rPr>
          <w:rFonts w:ascii="Open Sans" w:eastAsiaTheme="majorEastAsia" w:hAnsi="Open Sans" w:cs="Open Sans"/>
          <w:sz w:val="22"/>
          <w:szCs w:val="22"/>
        </w:rPr>
        <w:t xml:space="preserve"> </w:t>
      </w:r>
      <w:r w:rsidR="004910F7" w:rsidRPr="00B16B33">
        <w:rPr>
          <w:rFonts w:ascii="Open Sans" w:eastAsiaTheme="majorEastAsia" w:hAnsi="Open Sans" w:cs="Open Sans"/>
          <w:sz w:val="22"/>
          <w:szCs w:val="22"/>
        </w:rPr>
        <w:t>R</w:t>
      </w:r>
      <w:r w:rsidR="006C35AE" w:rsidRPr="00B16B33">
        <w:rPr>
          <w:rFonts w:ascii="Open Sans" w:eastAsiaTheme="majorEastAsia" w:hAnsi="Open Sans" w:cs="Open Sans"/>
          <w:sz w:val="22"/>
          <w:szCs w:val="22"/>
        </w:rPr>
        <w:t>SH</w:t>
      </w:r>
      <w:r w:rsidR="004910F7">
        <w:rPr>
          <w:rFonts w:ascii="Open Sans" w:eastAsiaTheme="majorEastAsia" w:hAnsi="Open Sans" w:cs="Open Sans"/>
          <w:sz w:val="22"/>
          <w:szCs w:val="22"/>
        </w:rPr>
        <w:t xml:space="preserve"> should also</w:t>
      </w:r>
      <w:r w:rsidR="006C35AE" w:rsidRPr="006C35AE">
        <w:rPr>
          <w:rFonts w:ascii="Open Sans" w:eastAsiaTheme="majorEastAsia" w:hAnsi="Open Sans" w:cs="Open Sans"/>
          <w:sz w:val="22"/>
          <w:szCs w:val="22"/>
        </w:rPr>
        <w:t xml:space="preserve"> use its sector-wide evidence to identify where the combined effect of government policy, funding and regulation is constraining providers’ ability to deliver more and better social homes, and to make those trade-offs clear to government</w:t>
      </w:r>
      <w:r w:rsidR="00023A51">
        <w:rPr>
          <w:rFonts w:ascii="Open Sans" w:eastAsiaTheme="majorEastAsia" w:hAnsi="Open Sans" w:cs="Open Sans"/>
          <w:sz w:val="22"/>
          <w:szCs w:val="22"/>
        </w:rPr>
        <w:t>.</w:t>
      </w:r>
    </w:p>
    <w:p w14:paraId="4D0AC65F" w14:textId="3529CDBC" w:rsidR="003F68D0" w:rsidRDefault="006822D8" w:rsidP="00E2630D">
      <w:pPr>
        <w:pStyle w:val="paragraph"/>
        <w:spacing w:before="0" w:beforeAutospacing="0" w:after="120" w:afterAutospacing="0"/>
        <w:textAlignment w:val="baseline"/>
        <w:rPr>
          <w:rFonts w:ascii="Open Sans" w:eastAsiaTheme="majorEastAsia" w:hAnsi="Open Sans" w:cs="Open Sans"/>
          <w:sz w:val="22"/>
          <w:szCs w:val="22"/>
        </w:rPr>
      </w:pPr>
      <w:r w:rsidRPr="006822D8">
        <w:rPr>
          <w:rFonts w:ascii="Open Sans" w:eastAsiaTheme="majorEastAsia" w:hAnsi="Open Sans" w:cs="Open Sans"/>
          <w:sz w:val="22"/>
          <w:szCs w:val="22"/>
        </w:rPr>
        <w:t xml:space="preserve">G15 members remain committed to increasing the supply of social and affordable </w:t>
      </w:r>
      <w:r w:rsidRPr="27BDD6BD">
        <w:rPr>
          <w:rFonts w:ascii="Open Sans" w:eastAsiaTheme="majorEastAsia" w:hAnsi="Open Sans" w:cs="Open Sans"/>
          <w:sz w:val="22"/>
          <w:szCs w:val="22"/>
        </w:rPr>
        <w:t>homes</w:t>
      </w:r>
      <w:r w:rsidR="4C5562FC" w:rsidRPr="27BDD6BD">
        <w:rPr>
          <w:rFonts w:ascii="Open Sans" w:eastAsiaTheme="majorEastAsia" w:hAnsi="Open Sans" w:cs="Open Sans"/>
          <w:sz w:val="22"/>
          <w:szCs w:val="22"/>
        </w:rPr>
        <w:t>,</w:t>
      </w:r>
      <w:r w:rsidRPr="006822D8">
        <w:rPr>
          <w:rFonts w:ascii="Open Sans" w:eastAsiaTheme="majorEastAsia" w:hAnsi="Open Sans" w:cs="Open Sans"/>
          <w:sz w:val="22"/>
          <w:szCs w:val="22"/>
        </w:rPr>
        <w:t xml:space="preserve"> while improving the homes and services provided to existing residents. Achieving both requires realistic choices about the use of finite capacity. The framework should support boards to make and explain those choices, without creating an expectation that every policy objective can be maximised simultaneously.</w:t>
      </w:r>
    </w:p>
    <w:p w14:paraId="7B0810F0" w14:textId="6B44E4CF" w:rsidR="003D6757" w:rsidRDefault="003D6757" w:rsidP="003D6757">
      <w:pPr>
        <w:pStyle w:val="paragraph"/>
        <w:spacing w:after="120" w:afterAutospacing="0"/>
        <w:textAlignment w:val="baseline"/>
        <w:rPr>
          <w:rFonts w:ascii="Open Sans" w:eastAsiaTheme="majorEastAsia" w:hAnsi="Open Sans" w:cs="Open Sans"/>
          <w:sz w:val="22"/>
          <w:szCs w:val="22"/>
        </w:rPr>
      </w:pPr>
      <w:r w:rsidRPr="003D6757">
        <w:rPr>
          <w:rFonts w:ascii="Open Sans" w:eastAsiaTheme="majorEastAsia" w:hAnsi="Open Sans" w:cs="Open Sans"/>
          <w:sz w:val="22"/>
          <w:szCs w:val="22"/>
        </w:rPr>
        <w:t>The formal consultation in 2027 should be guided b</w:t>
      </w:r>
      <w:r>
        <w:rPr>
          <w:rFonts w:ascii="Open Sans" w:eastAsiaTheme="majorEastAsia" w:hAnsi="Open Sans" w:cs="Open Sans"/>
          <w:sz w:val="22"/>
          <w:szCs w:val="22"/>
        </w:rPr>
        <w:t>y the following</w:t>
      </w:r>
      <w:r w:rsidRPr="003D6757">
        <w:rPr>
          <w:rFonts w:ascii="Open Sans" w:eastAsiaTheme="majorEastAsia" w:hAnsi="Open Sans" w:cs="Open Sans"/>
          <w:sz w:val="22"/>
          <w:szCs w:val="22"/>
        </w:rPr>
        <w:t xml:space="preserve"> principles</w:t>
      </w:r>
      <w:r>
        <w:rPr>
          <w:rFonts w:ascii="Open Sans" w:eastAsiaTheme="majorEastAsia" w:hAnsi="Open Sans" w:cs="Open Sans"/>
          <w:sz w:val="22"/>
          <w:szCs w:val="22"/>
        </w:rPr>
        <w:t>:</w:t>
      </w:r>
    </w:p>
    <w:p w14:paraId="6A0C8C49" w14:textId="6627102B" w:rsidR="00CF595A" w:rsidRPr="00CF595A" w:rsidRDefault="56E29F20">
      <w:pPr>
        <w:pStyle w:val="paragraph"/>
        <w:numPr>
          <w:ilvl w:val="0"/>
          <w:numId w:val="3"/>
        </w:numPr>
        <w:spacing w:before="0" w:beforeAutospacing="0" w:after="120" w:afterAutospacing="0"/>
        <w:ind w:left="714" w:hanging="357"/>
        <w:textAlignment w:val="baseline"/>
        <w:rPr>
          <w:rFonts w:ascii="Open Sans" w:eastAsiaTheme="majorEastAsia" w:hAnsi="Open Sans" w:cs="Open Sans"/>
          <w:sz w:val="22"/>
          <w:szCs w:val="22"/>
        </w:rPr>
      </w:pPr>
      <w:r w:rsidRPr="52C738CF">
        <w:rPr>
          <w:rFonts w:ascii="Open Sans" w:eastAsiaTheme="majorEastAsia" w:hAnsi="Open Sans" w:cs="Open Sans"/>
          <w:sz w:val="22"/>
          <w:szCs w:val="22"/>
        </w:rPr>
        <w:t>u</w:t>
      </w:r>
      <w:r w:rsidR="487D8966" w:rsidRPr="52C738CF">
        <w:rPr>
          <w:rFonts w:ascii="Open Sans" w:eastAsiaTheme="majorEastAsia" w:hAnsi="Open Sans" w:cs="Open Sans"/>
          <w:sz w:val="22"/>
          <w:szCs w:val="22"/>
        </w:rPr>
        <w:t>phold</w:t>
      </w:r>
      <w:r w:rsidR="0067740D">
        <w:rPr>
          <w:rFonts w:ascii="Open Sans" w:eastAsiaTheme="majorEastAsia" w:hAnsi="Open Sans" w:cs="Open Sans"/>
          <w:sz w:val="22"/>
          <w:szCs w:val="22"/>
        </w:rPr>
        <w:t xml:space="preserve"> res</w:t>
      </w:r>
      <w:r w:rsidR="0049171F">
        <w:rPr>
          <w:rFonts w:ascii="Open Sans" w:eastAsiaTheme="majorEastAsia" w:hAnsi="Open Sans" w:cs="Open Sans"/>
          <w:sz w:val="22"/>
          <w:szCs w:val="22"/>
        </w:rPr>
        <w:t>idents’</w:t>
      </w:r>
      <w:r w:rsidR="008C7B92">
        <w:rPr>
          <w:rFonts w:ascii="Open Sans" w:eastAsiaTheme="majorEastAsia" w:hAnsi="Open Sans" w:cs="Open Sans"/>
          <w:sz w:val="22"/>
          <w:szCs w:val="22"/>
        </w:rPr>
        <w:t xml:space="preserve"> int</w:t>
      </w:r>
      <w:r w:rsidR="00102787">
        <w:rPr>
          <w:rFonts w:ascii="Open Sans" w:eastAsiaTheme="majorEastAsia" w:hAnsi="Open Sans" w:cs="Open Sans"/>
          <w:sz w:val="22"/>
          <w:szCs w:val="22"/>
        </w:rPr>
        <w:t>erests</w:t>
      </w:r>
      <w:r w:rsidR="00587970">
        <w:rPr>
          <w:rFonts w:ascii="Open Sans" w:eastAsiaTheme="majorEastAsia" w:hAnsi="Open Sans" w:cs="Open Sans"/>
          <w:sz w:val="22"/>
          <w:szCs w:val="22"/>
        </w:rPr>
        <w:t xml:space="preserve">, </w:t>
      </w:r>
      <w:r w:rsidR="00DF0E12">
        <w:rPr>
          <w:rFonts w:ascii="Open Sans" w:eastAsiaTheme="majorEastAsia" w:hAnsi="Open Sans" w:cs="Open Sans"/>
          <w:sz w:val="22"/>
          <w:szCs w:val="22"/>
        </w:rPr>
        <w:t>sa</w:t>
      </w:r>
      <w:r w:rsidR="0073186D">
        <w:rPr>
          <w:rFonts w:ascii="Open Sans" w:eastAsiaTheme="majorEastAsia" w:hAnsi="Open Sans" w:cs="Open Sans"/>
          <w:sz w:val="22"/>
          <w:szCs w:val="22"/>
        </w:rPr>
        <w:t>fegu</w:t>
      </w:r>
      <w:r w:rsidR="008D2C62">
        <w:rPr>
          <w:rFonts w:ascii="Open Sans" w:eastAsiaTheme="majorEastAsia" w:hAnsi="Open Sans" w:cs="Open Sans"/>
          <w:sz w:val="22"/>
          <w:szCs w:val="22"/>
        </w:rPr>
        <w:t>ard</w:t>
      </w:r>
      <w:r w:rsidR="00CC10B1">
        <w:rPr>
          <w:rFonts w:ascii="Open Sans" w:eastAsiaTheme="majorEastAsia" w:hAnsi="Open Sans" w:cs="Open Sans"/>
          <w:sz w:val="22"/>
          <w:szCs w:val="22"/>
        </w:rPr>
        <w:t xml:space="preserve"> t</w:t>
      </w:r>
      <w:r w:rsidR="00E50BEC">
        <w:rPr>
          <w:rFonts w:ascii="Open Sans" w:eastAsiaTheme="majorEastAsia" w:hAnsi="Open Sans" w:cs="Open Sans"/>
          <w:sz w:val="22"/>
          <w:szCs w:val="22"/>
        </w:rPr>
        <w:t xml:space="preserve">heir </w:t>
      </w:r>
      <w:r w:rsidR="006D6B00">
        <w:rPr>
          <w:rFonts w:ascii="Open Sans" w:eastAsiaTheme="majorEastAsia" w:hAnsi="Open Sans" w:cs="Open Sans"/>
          <w:sz w:val="22"/>
          <w:szCs w:val="22"/>
        </w:rPr>
        <w:t>hom</w:t>
      </w:r>
      <w:r w:rsidR="00D64353">
        <w:rPr>
          <w:rFonts w:ascii="Open Sans" w:eastAsiaTheme="majorEastAsia" w:hAnsi="Open Sans" w:cs="Open Sans"/>
          <w:sz w:val="22"/>
          <w:szCs w:val="22"/>
        </w:rPr>
        <w:t>es</w:t>
      </w:r>
      <w:r w:rsidR="00CF595A" w:rsidRPr="00CF595A">
        <w:rPr>
          <w:rFonts w:ascii="Open Sans" w:eastAsiaTheme="majorEastAsia" w:hAnsi="Open Sans" w:cs="Open Sans"/>
          <w:sz w:val="22"/>
          <w:szCs w:val="22"/>
        </w:rPr>
        <w:t>, support long-term stewardship and maintain financial resilience</w:t>
      </w:r>
    </w:p>
    <w:p w14:paraId="7E6ECA9F" w14:textId="03063BCA" w:rsidR="00CF595A" w:rsidRPr="00CF595A" w:rsidRDefault="00953153">
      <w:pPr>
        <w:pStyle w:val="paragraph"/>
        <w:numPr>
          <w:ilvl w:val="0"/>
          <w:numId w:val="3"/>
        </w:numPr>
        <w:spacing w:before="0" w:beforeAutospacing="0" w:after="120" w:afterAutospacing="0"/>
        <w:ind w:left="714" w:hanging="357"/>
        <w:textAlignment w:val="baseline"/>
        <w:rPr>
          <w:rFonts w:ascii="Open Sans" w:eastAsiaTheme="majorEastAsia" w:hAnsi="Open Sans" w:cs="Open Sans"/>
          <w:sz w:val="22"/>
          <w:szCs w:val="22"/>
        </w:rPr>
      </w:pPr>
      <w:r>
        <w:rPr>
          <w:rFonts w:ascii="Open Sans" w:eastAsiaTheme="majorEastAsia" w:hAnsi="Open Sans" w:cs="Open Sans"/>
          <w:sz w:val="22"/>
          <w:szCs w:val="22"/>
        </w:rPr>
        <w:t>preserve B</w:t>
      </w:r>
      <w:r w:rsidR="00CF595A" w:rsidRPr="00CF595A">
        <w:rPr>
          <w:rFonts w:ascii="Open Sans" w:eastAsiaTheme="majorEastAsia" w:hAnsi="Open Sans" w:cs="Open Sans"/>
          <w:sz w:val="22"/>
          <w:szCs w:val="22"/>
        </w:rPr>
        <w:t>oard</w:t>
      </w:r>
      <w:r>
        <w:rPr>
          <w:rFonts w:ascii="Open Sans" w:eastAsiaTheme="majorEastAsia" w:hAnsi="Open Sans" w:cs="Open Sans"/>
          <w:sz w:val="22"/>
          <w:szCs w:val="22"/>
        </w:rPr>
        <w:t xml:space="preserve"> independence and accountability for strategy, risk appetite and the balance of investment in </w:t>
      </w:r>
      <w:r w:rsidR="00CF595A" w:rsidRPr="00CF595A">
        <w:rPr>
          <w:rFonts w:ascii="Open Sans" w:eastAsiaTheme="majorEastAsia" w:hAnsi="Open Sans" w:cs="Open Sans"/>
          <w:sz w:val="22"/>
          <w:szCs w:val="22"/>
        </w:rPr>
        <w:t>existing homes, services</w:t>
      </w:r>
      <w:r w:rsidR="00567DAA">
        <w:rPr>
          <w:rFonts w:ascii="Open Sans" w:eastAsiaTheme="majorEastAsia" w:hAnsi="Open Sans" w:cs="Open Sans"/>
          <w:sz w:val="22"/>
          <w:szCs w:val="22"/>
        </w:rPr>
        <w:t xml:space="preserve"> and </w:t>
      </w:r>
      <w:r w:rsidR="00CF595A" w:rsidRPr="00CF595A">
        <w:rPr>
          <w:rFonts w:ascii="Open Sans" w:eastAsiaTheme="majorEastAsia" w:hAnsi="Open Sans" w:cs="Open Sans"/>
          <w:sz w:val="22"/>
          <w:szCs w:val="22"/>
        </w:rPr>
        <w:t>new supply</w:t>
      </w:r>
      <w:r w:rsidR="00567DAA">
        <w:rPr>
          <w:rFonts w:ascii="Open Sans" w:eastAsiaTheme="majorEastAsia" w:hAnsi="Open Sans" w:cs="Open Sans"/>
          <w:sz w:val="22"/>
          <w:szCs w:val="22"/>
        </w:rPr>
        <w:t xml:space="preserve">, </w:t>
      </w:r>
      <w:r w:rsidR="00CF595A" w:rsidRPr="00CF595A">
        <w:rPr>
          <w:rFonts w:ascii="Open Sans" w:eastAsiaTheme="majorEastAsia" w:hAnsi="Open Sans" w:cs="Open Sans"/>
          <w:sz w:val="22"/>
          <w:szCs w:val="22"/>
        </w:rPr>
        <w:t>informed by resident priorities</w:t>
      </w:r>
      <w:r w:rsidR="00A20A3D">
        <w:rPr>
          <w:rFonts w:ascii="Open Sans" w:eastAsiaTheme="majorEastAsia" w:hAnsi="Open Sans" w:cs="Open Sans"/>
          <w:sz w:val="22"/>
          <w:szCs w:val="22"/>
        </w:rPr>
        <w:t xml:space="preserve"> whilst supporting independence of </w:t>
      </w:r>
      <w:r w:rsidR="00523341">
        <w:rPr>
          <w:rFonts w:ascii="Open Sans" w:eastAsiaTheme="majorEastAsia" w:hAnsi="Open Sans" w:cs="Open Sans"/>
          <w:sz w:val="22"/>
          <w:szCs w:val="22"/>
        </w:rPr>
        <w:t xml:space="preserve">decision making and risk ownership </w:t>
      </w:r>
    </w:p>
    <w:p w14:paraId="7B602A7F" w14:textId="2A0763E9" w:rsidR="00CF595A" w:rsidRPr="00CF595A" w:rsidRDefault="00CF595A">
      <w:pPr>
        <w:pStyle w:val="paragraph"/>
        <w:numPr>
          <w:ilvl w:val="0"/>
          <w:numId w:val="3"/>
        </w:numPr>
        <w:spacing w:before="0" w:beforeAutospacing="0" w:after="120" w:afterAutospacing="0"/>
        <w:ind w:left="714" w:hanging="357"/>
        <w:textAlignment w:val="baseline"/>
        <w:rPr>
          <w:rFonts w:ascii="Open Sans" w:eastAsiaTheme="majorEastAsia" w:hAnsi="Open Sans" w:cs="Open Sans"/>
          <w:sz w:val="22"/>
          <w:szCs w:val="22"/>
        </w:rPr>
      </w:pPr>
      <w:r w:rsidRPr="00CF595A">
        <w:rPr>
          <w:rFonts w:ascii="Open Sans" w:eastAsiaTheme="majorEastAsia" w:hAnsi="Open Sans" w:cs="Open Sans"/>
          <w:sz w:val="22"/>
          <w:szCs w:val="22"/>
        </w:rPr>
        <w:t>assess development</w:t>
      </w:r>
      <w:r w:rsidR="00303CB6">
        <w:rPr>
          <w:rFonts w:ascii="Open Sans" w:eastAsiaTheme="majorEastAsia" w:hAnsi="Open Sans" w:cs="Open Sans"/>
          <w:sz w:val="22"/>
          <w:szCs w:val="22"/>
        </w:rPr>
        <w:t xml:space="preserve"> </w:t>
      </w:r>
      <w:r w:rsidRPr="00CF595A">
        <w:rPr>
          <w:rFonts w:ascii="Open Sans" w:eastAsiaTheme="majorEastAsia" w:hAnsi="Open Sans" w:cs="Open Sans"/>
          <w:sz w:val="22"/>
          <w:szCs w:val="22"/>
        </w:rPr>
        <w:t xml:space="preserve">through the </w:t>
      </w:r>
      <w:r w:rsidR="00237974">
        <w:rPr>
          <w:rFonts w:ascii="Open Sans" w:eastAsiaTheme="majorEastAsia" w:hAnsi="Open Sans" w:cs="Open Sans"/>
          <w:sz w:val="22"/>
          <w:szCs w:val="22"/>
        </w:rPr>
        <w:t xml:space="preserve">evidence, governance and available capacity </w:t>
      </w:r>
      <w:r w:rsidR="00C45D69">
        <w:rPr>
          <w:rFonts w:ascii="Open Sans" w:eastAsiaTheme="majorEastAsia" w:hAnsi="Open Sans" w:cs="Open Sans"/>
          <w:sz w:val="22"/>
          <w:szCs w:val="22"/>
        </w:rPr>
        <w:t xml:space="preserve">underpinning Board decisions, recognising the role </w:t>
      </w:r>
      <w:r w:rsidRPr="00CF595A">
        <w:rPr>
          <w:rFonts w:ascii="Open Sans" w:eastAsiaTheme="majorEastAsia" w:hAnsi="Open Sans" w:cs="Open Sans"/>
          <w:sz w:val="22"/>
          <w:szCs w:val="22"/>
        </w:rPr>
        <w:t>of scheme viability, grant and changing operating conditions</w:t>
      </w:r>
    </w:p>
    <w:p w14:paraId="334B4A57" w14:textId="1AC58896" w:rsidR="00CF595A" w:rsidRPr="00CF595A" w:rsidRDefault="00CF595A">
      <w:pPr>
        <w:pStyle w:val="paragraph"/>
        <w:numPr>
          <w:ilvl w:val="0"/>
          <w:numId w:val="3"/>
        </w:numPr>
        <w:spacing w:before="0" w:beforeAutospacing="0" w:after="120" w:afterAutospacing="0"/>
        <w:ind w:left="714" w:hanging="357"/>
        <w:textAlignment w:val="baseline"/>
        <w:rPr>
          <w:rFonts w:ascii="Open Sans" w:eastAsiaTheme="majorEastAsia" w:hAnsi="Open Sans" w:cs="Open Sans"/>
          <w:sz w:val="22"/>
          <w:szCs w:val="22"/>
        </w:rPr>
      </w:pPr>
      <w:r w:rsidRPr="00CF595A">
        <w:rPr>
          <w:rFonts w:ascii="Open Sans" w:eastAsiaTheme="majorEastAsia" w:hAnsi="Open Sans" w:cs="Open Sans"/>
          <w:sz w:val="22"/>
          <w:szCs w:val="22"/>
        </w:rPr>
        <w:t>support responsible risk-taking while maintaining lender and investor confidence</w:t>
      </w:r>
      <w:r w:rsidR="00EF07CE">
        <w:rPr>
          <w:rFonts w:ascii="Open Sans" w:eastAsiaTheme="majorEastAsia" w:hAnsi="Open Sans" w:cs="Open Sans"/>
          <w:sz w:val="22"/>
          <w:szCs w:val="22"/>
        </w:rPr>
        <w:t xml:space="preserve">, </w:t>
      </w:r>
      <w:r w:rsidRPr="00CF595A">
        <w:rPr>
          <w:rFonts w:ascii="Open Sans" w:eastAsiaTheme="majorEastAsia" w:hAnsi="Open Sans" w:cs="Open Sans"/>
          <w:sz w:val="22"/>
          <w:szCs w:val="22"/>
        </w:rPr>
        <w:t>and the sector’s long-standing no-loss-on-default record for secured creditors</w:t>
      </w:r>
    </w:p>
    <w:p w14:paraId="6A6FBD5A" w14:textId="77777777" w:rsidR="00CF595A" w:rsidRPr="00CF595A" w:rsidRDefault="00CF595A">
      <w:pPr>
        <w:pStyle w:val="paragraph"/>
        <w:numPr>
          <w:ilvl w:val="0"/>
          <w:numId w:val="3"/>
        </w:numPr>
        <w:spacing w:before="0" w:beforeAutospacing="0" w:after="120" w:afterAutospacing="0"/>
        <w:ind w:left="714" w:hanging="357"/>
        <w:textAlignment w:val="baseline"/>
        <w:rPr>
          <w:rFonts w:ascii="Open Sans" w:eastAsiaTheme="majorEastAsia" w:hAnsi="Open Sans" w:cs="Open Sans"/>
          <w:sz w:val="22"/>
          <w:szCs w:val="22"/>
        </w:rPr>
      </w:pPr>
      <w:r w:rsidRPr="00CF595A">
        <w:rPr>
          <w:rFonts w:ascii="Open Sans" w:eastAsiaTheme="majorEastAsia" w:hAnsi="Open Sans" w:cs="Open Sans"/>
          <w:sz w:val="22"/>
          <w:szCs w:val="22"/>
        </w:rPr>
        <w:t>target scrutiny according to risk and potential systemic impact, with clear expectations for strategically important providers and proportionate treatment of commercially sensitive information</w:t>
      </w:r>
    </w:p>
    <w:p w14:paraId="27B7C39E" w14:textId="4A6F9291" w:rsidR="0032444F" w:rsidRDefault="00CF595A">
      <w:pPr>
        <w:pStyle w:val="paragraph"/>
        <w:numPr>
          <w:ilvl w:val="0"/>
          <w:numId w:val="3"/>
        </w:numPr>
        <w:spacing w:before="0" w:beforeAutospacing="0" w:after="120" w:afterAutospacing="0"/>
        <w:ind w:left="714" w:hanging="357"/>
        <w:textAlignment w:val="baseline"/>
        <w:rPr>
          <w:rFonts w:ascii="Open Sans" w:eastAsiaTheme="majorEastAsia" w:hAnsi="Open Sans" w:cs="Open Sans"/>
          <w:sz w:val="22"/>
          <w:szCs w:val="22"/>
        </w:rPr>
      </w:pPr>
      <w:r w:rsidRPr="00CF595A">
        <w:rPr>
          <w:rFonts w:ascii="Open Sans" w:eastAsiaTheme="majorEastAsia" w:hAnsi="Open Sans" w:cs="Open Sans"/>
          <w:sz w:val="22"/>
          <w:szCs w:val="22"/>
        </w:rPr>
        <w:t xml:space="preserve">ensure new requirements </w:t>
      </w:r>
      <w:r w:rsidR="00DC588E">
        <w:rPr>
          <w:rFonts w:ascii="Open Sans" w:eastAsiaTheme="majorEastAsia" w:hAnsi="Open Sans" w:cs="Open Sans"/>
          <w:sz w:val="22"/>
          <w:szCs w:val="22"/>
        </w:rPr>
        <w:t xml:space="preserve">are simple, proportionate and </w:t>
      </w:r>
      <w:r w:rsidRPr="00CF595A">
        <w:rPr>
          <w:rFonts w:ascii="Open Sans" w:eastAsiaTheme="majorEastAsia" w:hAnsi="Open Sans" w:cs="Open Sans"/>
          <w:sz w:val="22"/>
          <w:szCs w:val="22"/>
        </w:rPr>
        <w:t>work coherently with the wider regulatory and funding framework, recognise different operating contexts including London, and allow realistic implementation timescales</w:t>
      </w:r>
    </w:p>
    <w:p w14:paraId="7986BFCF" w14:textId="77777777" w:rsidR="00792DEA" w:rsidRDefault="00792DEA" w:rsidP="00BD74BD">
      <w:pPr>
        <w:pStyle w:val="paragraph"/>
        <w:spacing w:after="120"/>
        <w:textAlignment w:val="baseline"/>
        <w:rPr>
          <w:rFonts w:ascii="Open Sans" w:eastAsia="Aptos" w:hAnsi="Open Sans" w:cs="Open Sans"/>
          <w:b/>
          <w:bCs/>
          <w:sz w:val="22"/>
          <w:szCs w:val="22"/>
        </w:rPr>
      </w:pPr>
    </w:p>
    <w:p w14:paraId="693CAE06" w14:textId="77777777" w:rsidR="00792DEA" w:rsidRDefault="00792DEA" w:rsidP="00BD74BD">
      <w:pPr>
        <w:pStyle w:val="paragraph"/>
        <w:spacing w:after="120"/>
        <w:textAlignment w:val="baseline"/>
        <w:rPr>
          <w:rFonts w:ascii="Open Sans" w:eastAsia="Aptos" w:hAnsi="Open Sans" w:cs="Open Sans"/>
          <w:b/>
          <w:bCs/>
          <w:sz w:val="22"/>
          <w:szCs w:val="22"/>
        </w:rPr>
      </w:pPr>
    </w:p>
    <w:p w14:paraId="66DA3B72" w14:textId="417965A1" w:rsidR="00BD74BD" w:rsidRPr="00BD74BD" w:rsidRDefault="00BD74BD" w:rsidP="00792DEA">
      <w:pPr>
        <w:pStyle w:val="paragraph"/>
        <w:spacing w:after="120"/>
        <w:jc w:val="center"/>
        <w:textAlignment w:val="baseline"/>
        <w:rPr>
          <w:rFonts w:ascii="Open Sans" w:eastAsia="Aptos" w:hAnsi="Open Sans" w:cs="Open Sans"/>
          <w:b/>
          <w:bCs/>
          <w:sz w:val="22"/>
          <w:szCs w:val="22"/>
        </w:rPr>
      </w:pPr>
      <w:r w:rsidRPr="00BD74BD">
        <w:rPr>
          <w:rFonts w:ascii="Open Sans" w:eastAsia="Aptos" w:hAnsi="Open Sans" w:cs="Open Sans"/>
          <w:b/>
          <w:bCs/>
          <w:sz w:val="22"/>
          <w:szCs w:val="22"/>
        </w:rPr>
        <w:t>Question 1: Essentials for more and better homes</w:t>
      </w:r>
    </w:p>
    <w:p w14:paraId="5D2760E0" w14:textId="77777777" w:rsidR="00BD74BD" w:rsidRPr="00BD74BD" w:rsidRDefault="00BD74BD" w:rsidP="00BD74BD">
      <w:pPr>
        <w:pStyle w:val="paragraph"/>
        <w:spacing w:after="120"/>
        <w:textAlignment w:val="baseline"/>
        <w:rPr>
          <w:rFonts w:ascii="Open Sans" w:eastAsia="Aptos" w:hAnsi="Open Sans" w:cs="Open Sans"/>
          <w:b/>
          <w:bCs/>
          <w:sz w:val="22"/>
          <w:szCs w:val="22"/>
        </w:rPr>
      </w:pPr>
      <w:r w:rsidRPr="00BD74BD">
        <w:rPr>
          <w:rFonts w:ascii="Open Sans" w:eastAsia="Aptos" w:hAnsi="Open Sans" w:cs="Open Sans"/>
          <w:b/>
          <w:bCs/>
          <w:sz w:val="22"/>
          <w:szCs w:val="22"/>
        </w:rPr>
        <w:t>Please give your views on how we can further promote the essential characteristics of social landlords to deliver more and better social homes.</w:t>
      </w:r>
    </w:p>
    <w:p w14:paraId="29ED0716" w14:textId="12B349EC" w:rsidR="001A20EF" w:rsidRDefault="00CA5C13" w:rsidP="004A2DCA">
      <w:pPr>
        <w:pStyle w:val="paragraph"/>
        <w:spacing w:after="120"/>
        <w:textAlignment w:val="baseline"/>
        <w:rPr>
          <w:rFonts w:ascii="Open Sans" w:eastAsia="Aptos" w:hAnsi="Open Sans" w:cs="Open Sans"/>
          <w:sz w:val="22"/>
          <w:szCs w:val="22"/>
        </w:rPr>
      </w:pPr>
      <w:r>
        <w:rPr>
          <w:rFonts w:ascii="Open Sans" w:eastAsia="Aptos" w:hAnsi="Open Sans" w:cs="Open Sans"/>
          <w:sz w:val="22"/>
          <w:szCs w:val="22"/>
        </w:rPr>
        <w:t>RPs</w:t>
      </w:r>
      <w:r w:rsidR="004A2DCA" w:rsidRPr="004A2DCA">
        <w:rPr>
          <w:rFonts w:ascii="Open Sans" w:eastAsia="Aptos" w:hAnsi="Open Sans" w:cs="Open Sans"/>
          <w:sz w:val="22"/>
          <w:szCs w:val="22"/>
        </w:rPr>
        <w:t xml:space="preserve"> should have a clear social housing purpose, strong governance, financial resilience, good-quality data, and enough independence and control to </w:t>
      </w:r>
      <w:r w:rsidR="00D3443A">
        <w:rPr>
          <w:rFonts w:ascii="Open Sans" w:eastAsia="Aptos" w:hAnsi="Open Sans" w:cs="Open Sans"/>
          <w:sz w:val="22"/>
          <w:szCs w:val="22"/>
        </w:rPr>
        <w:t xml:space="preserve">meet their responsibilities to </w:t>
      </w:r>
      <w:r w:rsidR="003D41C9">
        <w:rPr>
          <w:rFonts w:ascii="Open Sans" w:eastAsia="Aptos" w:hAnsi="Open Sans" w:cs="Open Sans"/>
          <w:sz w:val="22"/>
          <w:szCs w:val="22"/>
        </w:rPr>
        <w:t>residents</w:t>
      </w:r>
      <w:r w:rsidR="001A20EF">
        <w:rPr>
          <w:rFonts w:ascii="Open Sans" w:eastAsia="Aptos" w:hAnsi="Open Sans" w:cs="Open Sans"/>
          <w:sz w:val="22"/>
          <w:szCs w:val="22"/>
        </w:rPr>
        <w:t xml:space="preserve"> and </w:t>
      </w:r>
      <w:r w:rsidR="00D3443A">
        <w:rPr>
          <w:rFonts w:ascii="Open Sans" w:eastAsia="Aptos" w:hAnsi="Open Sans" w:cs="Open Sans"/>
          <w:sz w:val="22"/>
          <w:szCs w:val="22"/>
        </w:rPr>
        <w:t xml:space="preserve">safeguard </w:t>
      </w:r>
      <w:r w:rsidR="003D41C9">
        <w:rPr>
          <w:rFonts w:ascii="Open Sans" w:eastAsia="Aptos" w:hAnsi="Open Sans" w:cs="Open Sans"/>
          <w:sz w:val="22"/>
          <w:szCs w:val="22"/>
        </w:rPr>
        <w:t xml:space="preserve">their </w:t>
      </w:r>
      <w:r w:rsidR="004A2DCA" w:rsidRPr="004A2DCA">
        <w:rPr>
          <w:rFonts w:ascii="Open Sans" w:eastAsia="Aptos" w:hAnsi="Open Sans" w:cs="Open Sans"/>
          <w:sz w:val="22"/>
          <w:szCs w:val="22"/>
        </w:rPr>
        <w:t>homes</w:t>
      </w:r>
      <w:r w:rsidR="001A20EF">
        <w:rPr>
          <w:rFonts w:ascii="Open Sans" w:eastAsia="Aptos" w:hAnsi="Open Sans" w:cs="Open Sans"/>
          <w:sz w:val="22"/>
          <w:szCs w:val="22"/>
        </w:rPr>
        <w:t xml:space="preserve">.  </w:t>
      </w:r>
      <w:r w:rsidR="004F1793" w:rsidRPr="004F1793">
        <w:rPr>
          <w:rFonts w:ascii="Open Sans" w:eastAsia="Aptos" w:hAnsi="Open Sans" w:cs="Open Sans"/>
          <w:sz w:val="22"/>
          <w:szCs w:val="22"/>
        </w:rPr>
        <w:t xml:space="preserve">Social housing is a public good that relies on long-term stewardship, so the regulatory framework should </w:t>
      </w:r>
      <w:r w:rsidR="004F1793">
        <w:rPr>
          <w:rFonts w:ascii="Open Sans" w:eastAsia="Aptos" w:hAnsi="Open Sans" w:cs="Open Sans"/>
          <w:sz w:val="22"/>
          <w:szCs w:val="22"/>
        </w:rPr>
        <w:t>seek to ensure</w:t>
      </w:r>
      <w:r w:rsidR="004F1793" w:rsidRPr="004F1793">
        <w:rPr>
          <w:rFonts w:ascii="Open Sans" w:eastAsia="Aptos" w:hAnsi="Open Sans" w:cs="Open Sans"/>
          <w:sz w:val="22"/>
          <w:szCs w:val="22"/>
        </w:rPr>
        <w:t xml:space="preserve"> that landlords entering and operating in the sector are committed to </w:t>
      </w:r>
      <w:r w:rsidR="00F24E01">
        <w:rPr>
          <w:rFonts w:ascii="Open Sans" w:eastAsia="Aptos" w:hAnsi="Open Sans" w:cs="Open Sans"/>
          <w:sz w:val="22"/>
          <w:szCs w:val="22"/>
        </w:rPr>
        <w:t>up</w:t>
      </w:r>
      <w:r w:rsidR="0012444E">
        <w:rPr>
          <w:rFonts w:ascii="Open Sans" w:eastAsia="Aptos" w:hAnsi="Open Sans" w:cs="Open Sans"/>
          <w:sz w:val="22"/>
          <w:szCs w:val="22"/>
        </w:rPr>
        <w:t>h</w:t>
      </w:r>
      <w:r w:rsidR="00F007E2">
        <w:rPr>
          <w:rFonts w:ascii="Open Sans" w:eastAsia="Aptos" w:hAnsi="Open Sans" w:cs="Open Sans"/>
          <w:sz w:val="22"/>
          <w:szCs w:val="22"/>
        </w:rPr>
        <w:t>oldi</w:t>
      </w:r>
      <w:r w:rsidR="00322F73">
        <w:rPr>
          <w:rFonts w:ascii="Open Sans" w:eastAsia="Aptos" w:hAnsi="Open Sans" w:cs="Open Sans"/>
          <w:sz w:val="22"/>
          <w:szCs w:val="22"/>
        </w:rPr>
        <w:t>ng res</w:t>
      </w:r>
      <w:r w:rsidR="0053061D">
        <w:rPr>
          <w:rFonts w:ascii="Open Sans" w:eastAsia="Aptos" w:hAnsi="Open Sans" w:cs="Open Sans"/>
          <w:sz w:val="22"/>
          <w:szCs w:val="22"/>
        </w:rPr>
        <w:t>idents’</w:t>
      </w:r>
      <w:r w:rsidR="00B22EDA">
        <w:rPr>
          <w:rFonts w:ascii="Open Sans" w:eastAsia="Aptos" w:hAnsi="Open Sans" w:cs="Open Sans"/>
          <w:sz w:val="22"/>
          <w:szCs w:val="22"/>
        </w:rPr>
        <w:t xml:space="preserve"> </w:t>
      </w:r>
      <w:r w:rsidR="009D0C59">
        <w:rPr>
          <w:rFonts w:ascii="Open Sans" w:eastAsia="Aptos" w:hAnsi="Open Sans" w:cs="Open Sans"/>
          <w:sz w:val="22"/>
          <w:szCs w:val="22"/>
        </w:rPr>
        <w:t>inte</w:t>
      </w:r>
      <w:r w:rsidR="000E19A7">
        <w:rPr>
          <w:rFonts w:ascii="Open Sans" w:eastAsia="Aptos" w:hAnsi="Open Sans" w:cs="Open Sans"/>
          <w:sz w:val="22"/>
          <w:szCs w:val="22"/>
        </w:rPr>
        <w:t>rest</w:t>
      </w:r>
      <w:r w:rsidR="00E209BC">
        <w:rPr>
          <w:rFonts w:ascii="Open Sans" w:eastAsia="Aptos" w:hAnsi="Open Sans" w:cs="Open Sans"/>
          <w:sz w:val="22"/>
          <w:szCs w:val="22"/>
        </w:rPr>
        <w:t>s</w:t>
      </w:r>
      <w:r w:rsidR="004F1793" w:rsidRPr="004F1793">
        <w:rPr>
          <w:rFonts w:ascii="Open Sans" w:eastAsia="Aptos" w:hAnsi="Open Sans" w:cs="Open Sans"/>
          <w:sz w:val="22"/>
          <w:szCs w:val="22"/>
        </w:rPr>
        <w:t>, financial resilience and the long-term provision of social housing.</w:t>
      </w:r>
    </w:p>
    <w:p w14:paraId="1734D6A4" w14:textId="6D75D317" w:rsidR="004F1793" w:rsidRDefault="00676353" w:rsidP="004A2DCA">
      <w:pPr>
        <w:pStyle w:val="paragraph"/>
        <w:spacing w:after="120"/>
        <w:textAlignment w:val="baseline"/>
        <w:rPr>
          <w:rFonts w:ascii="Open Sans" w:eastAsia="Aptos" w:hAnsi="Open Sans" w:cs="Open Sans"/>
          <w:sz w:val="22"/>
          <w:szCs w:val="22"/>
        </w:rPr>
      </w:pPr>
      <w:r w:rsidRPr="00676353">
        <w:rPr>
          <w:rFonts w:ascii="Open Sans" w:eastAsia="Aptos" w:hAnsi="Open Sans" w:cs="Open Sans"/>
          <w:sz w:val="22"/>
          <w:szCs w:val="22"/>
        </w:rPr>
        <w:t xml:space="preserve">In </w:t>
      </w:r>
      <w:r w:rsidR="00B6495C">
        <w:rPr>
          <w:rFonts w:ascii="Open Sans" w:eastAsia="Aptos" w:hAnsi="Open Sans" w:cs="Open Sans"/>
          <w:sz w:val="22"/>
          <w:szCs w:val="22"/>
        </w:rPr>
        <w:t>this context</w:t>
      </w:r>
      <w:r w:rsidRPr="00676353">
        <w:rPr>
          <w:rFonts w:ascii="Open Sans" w:eastAsia="Aptos" w:hAnsi="Open Sans" w:cs="Open Sans"/>
          <w:sz w:val="22"/>
          <w:szCs w:val="22"/>
        </w:rPr>
        <w:t xml:space="preserve">, “better” </w:t>
      </w:r>
      <w:r w:rsidR="00B6495C">
        <w:rPr>
          <w:rFonts w:ascii="Open Sans" w:eastAsia="Aptos" w:hAnsi="Open Sans" w:cs="Open Sans"/>
          <w:sz w:val="22"/>
          <w:szCs w:val="22"/>
        </w:rPr>
        <w:t xml:space="preserve">needs to </w:t>
      </w:r>
      <w:r w:rsidRPr="00676353">
        <w:rPr>
          <w:rFonts w:ascii="Open Sans" w:eastAsia="Aptos" w:hAnsi="Open Sans" w:cs="Open Sans"/>
          <w:sz w:val="22"/>
          <w:szCs w:val="22"/>
        </w:rPr>
        <w:t xml:space="preserve">be understood broadly. It should </w:t>
      </w:r>
      <w:r w:rsidR="00B6495C">
        <w:rPr>
          <w:rFonts w:ascii="Open Sans" w:eastAsia="Aptos" w:hAnsi="Open Sans" w:cs="Open Sans"/>
          <w:sz w:val="22"/>
          <w:szCs w:val="22"/>
        </w:rPr>
        <w:t>encompass</w:t>
      </w:r>
      <w:r w:rsidRPr="00676353">
        <w:rPr>
          <w:rFonts w:ascii="Open Sans" w:eastAsia="Aptos" w:hAnsi="Open Sans" w:cs="Open Sans"/>
          <w:sz w:val="22"/>
          <w:szCs w:val="22"/>
        </w:rPr>
        <w:t xml:space="preserve"> the safety, quality, affordability and long-term management of residents’ homes, </w:t>
      </w:r>
      <w:r w:rsidR="00B6495C">
        <w:rPr>
          <w:rFonts w:ascii="Open Sans" w:eastAsia="Aptos" w:hAnsi="Open Sans" w:cs="Open Sans"/>
          <w:sz w:val="22"/>
          <w:szCs w:val="22"/>
        </w:rPr>
        <w:t>alongside</w:t>
      </w:r>
      <w:r w:rsidRPr="00676353">
        <w:rPr>
          <w:rFonts w:ascii="Open Sans" w:eastAsia="Aptos" w:hAnsi="Open Sans" w:cs="Open Sans"/>
          <w:sz w:val="22"/>
          <w:szCs w:val="22"/>
        </w:rPr>
        <w:t xml:space="preserve"> </w:t>
      </w:r>
      <w:r w:rsidR="000A5B02">
        <w:rPr>
          <w:rFonts w:ascii="Open Sans" w:eastAsia="Aptos" w:hAnsi="Open Sans" w:cs="Open Sans"/>
          <w:sz w:val="22"/>
          <w:szCs w:val="22"/>
        </w:rPr>
        <w:t xml:space="preserve">good services </w:t>
      </w:r>
      <w:r w:rsidR="00347346">
        <w:rPr>
          <w:rFonts w:ascii="Open Sans" w:eastAsia="Aptos" w:hAnsi="Open Sans" w:cs="Open Sans"/>
          <w:sz w:val="22"/>
          <w:szCs w:val="22"/>
        </w:rPr>
        <w:t>and the contribution s</w:t>
      </w:r>
      <w:r w:rsidRPr="00676353">
        <w:rPr>
          <w:rFonts w:ascii="Open Sans" w:eastAsia="Aptos" w:hAnsi="Open Sans" w:cs="Open Sans"/>
          <w:sz w:val="22"/>
          <w:szCs w:val="22"/>
        </w:rPr>
        <w:t xml:space="preserve">ocial landlords </w:t>
      </w:r>
      <w:r w:rsidR="00347346">
        <w:rPr>
          <w:rFonts w:ascii="Open Sans" w:eastAsia="Aptos" w:hAnsi="Open Sans" w:cs="Open Sans"/>
          <w:sz w:val="22"/>
          <w:szCs w:val="22"/>
        </w:rPr>
        <w:t xml:space="preserve">make to </w:t>
      </w:r>
      <w:r w:rsidRPr="00676353">
        <w:rPr>
          <w:rFonts w:ascii="Open Sans" w:eastAsia="Aptos" w:hAnsi="Open Sans" w:cs="Open Sans"/>
          <w:sz w:val="22"/>
          <w:szCs w:val="22"/>
        </w:rPr>
        <w:t xml:space="preserve">communities and places. </w:t>
      </w:r>
      <w:r w:rsidR="00CC3679" w:rsidRPr="00CC3679">
        <w:rPr>
          <w:rFonts w:ascii="Open Sans" w:eastAsia="Aptos" w:hAnsi="Open Sans" w:cs="Open Sans"/>
          <w:sz w:val="22"/>
          <w:szCs w:val="22"/>
        </w:rPr>
        <w:t>This includes work to tackle overcrowding and help residents move to homes that meet their needs.</w:t>
      </w:r>
    </w:p>
    <w:p w14:paraId="5E247B3A" w14:textId="70DADBF2" w:rsidR="004A2DCA" w:rsidRPr="004A2DCA" w:rsidRDefault="004A2DCA" w:rsidP="004A2DCA">
      <w:pPr>
        <w:pStyle w:val="paragraph"/>
        <w:spacing w:after="120"/>
        <w:textAlignment w:val="baseline"/>
        <w:rPr>
          <w:rFonts w:ascii="Open Sans" w:eastAsia="Aptos" w:hAnsi="Open Sans" w:cs="Open Sans"/>
          <w:b/>
          <w:bCs/>
          <w:sz w:val="22"/>
          <w:szCs w:val="22"/>
        </w:rPr>
      </w:pPr>
      <w:r w:rsidRPr="004A2DCA">
        <w:rPr>
          <w:rFonts w:ascii="Open Sans" w:eastAsia="Aptos" w:hAnsi="Open Sans" w:cs="Open Sans"/>
          <w:b/>
          <w:bCs/>
          <w:sz w:val="22"/>
          <w:szCs w:val="22"/>
        </w:rPr>
        <w:t>Social housing purpose</w:t>
      </w:r>
    </w:p>
    <w:p w14:paraId="617C592D" w14:textId="7F52AE28" w:rsidR="007B3FBB" w:rsidRDefault="00BE6B7F" w:rsidP="007B3FBB">
      <w:pPr>
        <w:pStyle w:val="paragraph"/>
        <w:spacing w:after="120"/>
        <w:textAlignment w:val="baseline"/>
        <w:rPr>
          <w:rFonts w:ascii="Open Sans" w:eastAsia="Aptos" w:hAnsi="Open Sans" w:cs="Open Sans"/>
          <w:sz w:val="22"/>
          <w:szCs w:val="22"/>
        </w:rPr>
      </w:pPr>
      <w:r>
        <w:rPr>
          <w:rFonts w:ascii="Open Sans" w:eastAsia="Aptos" w:hAnsi="Open Sans" w:cs="Open Sans"/>
          <w:sz w:val="22"/>
          <w:szCs w:val="22"/>
        </w:rPr>
        <w:t>Social</w:t>
      </w:r>
      <w:r w:rsidR="007B3FBB" w:rsidRPr="007B3FBB">
        <w:rPr>
          <w:rFonts w:ascii="Open Sans" w:eastAsia="Aptos" w:hAnsi="Open Sans" w:cs="Open Sans"/>
          <w:sz w:val="22"/>
          <w:szCs w:val="22"/>
        </w:rPr>
        <w:t xml:space="preserve"> housing should be central to </w:t>
      </w:r>
      <w:r w:rsidR="007B3FBB">
        <w:rPr>
          <w:rFonts w:ascii="Open Sans" w:eastAsia="Aptos" w:hAnsi="Open Sans" w:cs="Open Sans"/>
          <w:sz w:val="22"/>
          <w:szCs w:val="22"/>
        </w:rPr>
        <w:t>RPs</w:t>
      </w:r>
      <w:r w:rsidR="007B3FBB" w:rsidRPr="007B3FBB">
        <w:rPr>
          <w:rFonts w:ascii="Open Sans" w:eastAsia="Aptos" w:hAnsi="Open Sans" w:cs="Open Sans"/>
          <w:sz w:val="22"/>
          <w:szCs w:val="22"/>
        </w:rPr>
        <w:t>. A clearer</w:t>
      </w:r>
      <w:r w:rsidR="002104DE">
        <w:rPr>
          <w:rFonts w:ascii="Open Sans" w:eastAsia="Aptos" w:hAnsi="Open Sans" w:cs="Open Sans"/>
          <w:sz w:val="22"/>
          <w:szCs w:val="22"/>
        </w:rPr>
        <w:t xml:space="preserve"> regulatory assessment of social housing</w:t>
      </w:r>
      <w:r w:rsidR="007B3FBB" w:rsidRPr="007B3FBB">
        <w:rPr>
          <w:rFonts w:ascii="Open Sans" w:eastAsia="Aptos" w:hAnsi="Open Sans" w:cs="Open Sans"/>
          <w:sz w:val="22"/>
          <w:szCs w:val="22"/>
        </w:rPr>
        <w:t xml:space="preserve"> purpose could help </w:t>
      </w:r>
      <w:r w:rsidR="00663241">
        <w:rPr>
          <w:rFonts w:ascii="Open Sans" w:eastAsia="Aptos" w:hAnsi="Open Sans" w:cs="Open Sans"/>
          <w:sz w:val="22"/>
          <w:szCs w:val="22"/>
        </w:rPr>
        <w:t>RSH</w:t>
      </w:r>
      <w:r w:rsidR="007B3FBB" w:rsidRPr="007B3FBB">
        <w:rPr>
          <w:rFonts w:ascii="Open Sans" w:eastAsia="Aptos" w:hAnsi="Open Sans" w:cs="Open Sans"/>
          <w:sz w:val="22"/>
          <w:szCs w:val="22"/>
        </w:rPr>
        <w:t xml:space="preserve"> identify providers where social housing is peripheral to the wider business model or where </w:t>
      </w:r>
      <w:r w:rsidR="00A712CB" w:rsidRPr="00A712CB">
        <w:rPr>
          <w:rFonts w:ascii="Open Sans" w:eastAsia="Aptos" w:hAnsi="Open Sans" w:cs="Open Sans"/>
          <w:sz w:val="22"/>
          <w:szCs w:val="22"/>
        </w:rPr>
        <w:t>there is limited evidence of a sustained commitment to residents and their homes.</w:t>
      </w:r>
    </w:p>
    <w:p w14:paraId="18D22C63" w14:textId="17295EC8" w:rsidR="00E72CFD" w:rsidRDefault="00D23421" w:rsidP="007B3FBB">
      <w:pPr>
        <w:pStyle w:val="paragraph"/>
        <w:spacing w:after="120"/>
        <w:textAlignment w:val="baseline"/>
        <w:rPr>
          <w:rFonts w:ascii="Open Sans" w:eastAsia="Aptos" w:hAnsi="Open Sans" w:cs="Open Sans"/>
          <w:sz w:val="22"/>
          <w:szCs w:val="22"/>
        </w:rPr>
      </w:pPr>
      <w:r w:rsidRPr="00D23421">
        <w:rPr>
          <w:rFonts w:ascii="Open Sans" w:eastAsia="Aptos" w:hAnsi="Open Sans" w:cs="Open Sans"/>
          <w:sz w:val="22"/>
          <w:szCs w:val="22"/>
        </w:rPr>
        <w:t xml:space="preserve">The test needs to reflect the range of </w:t>
      </w:r>
      <w:r w:rsidR="00FF2A99">
        <w:rPr>
          <w:rFonts w:ascii="Open Sans" w:eastAsia="Aptos" w:hAnsi="Open Sans" w:cs="Open Sans"/>
          <w:sz w:val="22"/>
          <w:szCs w:val="22"/>
        </w:rPr>
        <w:t xml:space="preserve">established, well-governed </w:t>
      </w:r>
      <w:r w:rsidRPr="00D23421">
        <w:rPr>
          <w:rFonts w:ascii="Open Sans" w:eastAsia="Aptos" w:hAnsi="Open Sans" w:cs="Open Sans"/>
          <w:sz w:val="22"/>
          <w:szCs w:val="22"/>
        </w:rPr>
        <w:t>structures already operating in the sector. Mixed business models, historic arrangements and complex group structures can affect measures such as turnover</w:t>
      </w:r>
      <w:r w:rsidR="000734A5">
        <w:rPr>
          <w:rFonts w:ascii="Open Sans" w:eastAsia="Aptos" w:hAnsi="Open Sans" w:cs="Open Sans"/>
          <w:sz w:val="22"/>
          <w:szCs w:val="22"/>
        </w:rPr>
        <w:t xml:space="preserve"> or the proportion of social homes within the organisation, </w:t>
      </w:r>
      <w:r w:rsidRPr="00D23421">
        <w:rPr>
          <w:rFonts w:ascii="Open Sans" w:eastAsia="Aptos" w:hAnsi="Open Sans" w:cs="Open Sans"/>
          <w:sz w:val="22"/>
          <w:szCs w:val="22"/>
        </w:rPr>
        <w:t>without changing the underlying social purpose of the organisation. Turnover, for example, can change materially as development and sales activity changes.</w:t>
      </w:r>
      <w:r w:rsidR="00E72CFD">
        <w:rPr>
          <w:rFonts w:ascii="Open Sans" w:eastAsia="Aptos" w:hAnsi="Open Sans" w:cs="Open Sans"/>
          <w:sz w:val="22"/>
          <w:szCs w:val="22"/>
        </w:rPr>
        <w:t xml:space="preserve"> </w:t>
      </w:r>
      <w:r w:rsidR="00F55A5D" w:rsidRPr="00F55A5D">
        <w:rPr>
          <w:rFonts w:ascii="Open Sans" w:eastAsia="Aptos" w:hAnsi="Open Sans" w:cs="Open Sans"/>
          <w:sz w:val="22"/>
          <w:szCs w:val="22"/>
        </w:rPr>
        <w:t>Numerical measures could inform risk assessment or trigger closer scrutiny, but should not operate as a minimum requirement or determinative test.</w:t>
      </w:r>
    </w:p>
    <w:p w14:paraId="07844369" w14:textId="7DAFE58E" w:rsidR="00E72CFD" w:rsidRDefault="00E72CFD" w:rsidP="007B3FBB">
      <w:pPr>
        <w:pStyle w:val="paragraph"/>
        <w:spacing w:after="120"/>
        <w:textAlignment w:val="baseline"/>
        <w:rPr>
          <w:rFonts w:ascii="Open Sans" w:eastAsia="Aptos" w:hAnsi="Open Sans" w:cs="Open Sans"/>
          <w:sz w:val="22"/>
          <w:szCs w:val="22"/>
        </w:rPr>
      </w:pPr>
      <w:r w:rsidRPr="00E72CFD">
        <w:rPr>
          <w:rFonts w:ascii="Open Sans" w:eastAsia="Aptos" w:hAnsi="Open Sans" w:cs="Open Sans"/>
          <w:sz w:val="22"/>
          <w:szCs w:val="22"/>
        </w:rPr>
        <w:t>The overall regulatory judgement should also consider governance, long-term strategy, control arrangements and the organisation’s demonstrated commitment to social housing. This would give</w:t>
      </w:r>
      <w:r w:rsidR="00663241">
        <w:rPr>
          <w:rFonts w:ascii="Open Sans" w:eastAsia="Aptos" w:hAnsi="Open Sans" w:cs="Open Sans"/>
          <w:sz w:val="22"/>
          <w:szCs w:val="22"/>
        </w:rPr>
        <w:t xml:space="preserve"> RSH</w:t>
      </w:r>
      <w:r w:rsidRPr="00E72CFD">
        <w:rPr>
          <w:rFonts w:ascii="Open Sans" w:eastAsia="Aptos" w:hAnsi="Open Sans" w:cs="Open Sans"/>
          <w:sz w:val="22"/>
          <w:szCs w:val="22"/>
        </w:rPr>
        <w:t xml:space="preserve"> a stronger basis for identifying poor-quality or opportunistic models without relying on a single measure that may not reflect </w:t>
      </w:r>
      <w:r w:rsidR="00C92A53">
        <w:rPr>
          <w:rFonts w:ascii="Open Sans" w:eastAsia="Aptos" w:hAnsi="Open Sans" w:cs="Open Sans"/>
          <w:sz w:val="22"/>
          <w:szCs w:val="22"/>
        </w:rPr>
        <w:t xml:space="preserve">the </w:t>
      </w:r>
      <w:r w:rsidR="005763BE" w:rsidRPr="005763BE">
        <w:rPr>
          <w:rFonts w:ascii="Open Sans" w:eastAsia="Aptos" w:hAnsi="Open Sans" w:cs="Open Sans"/>
          <w:sz w:val="22"/>
          <w:szCs w:val="22"/>
        </w:rPr>
        <w:t>different ways established providers are structured.</w:t>
      </w:r>
    </w:p>
    <w:p w14:paraId="28C02E26" w14:textId="6F681897" w:rsidR="004A2DCA" w:rsidRPr="004A2DCA" w:rsidRDefault="004A2DCA" w:rsidP="007B3FBB">
      <w:pPr>
        <w:pStyle w:val="paragraph"/>
        <w:spacing w:after="120"/>
        <w:textAlignment w:val="baseline"/>
        <w:rPr>
          <w:rFonts w:ascii="Open Sans" w:eastAsia="Aptos" w:hAnsi="Open Sans" w:cs="Open Sans"/>
          <w:b/>
          <w:bCs/>
          <w:sz w:val="22"/>
          <w:szCs w:val="22"/>
        </w:rPr>
      </w:pPr>
      <w:r w:rsidRPr="004A2DCA">
        <w:rPr>
          <w:rFonts w:ascii="Open Sans" w:eastAsia="Aptos" w:hAnsi="Open Sans" w:cs="Open Sans"/>
          <w:b/>
          <w:bCs/>
          <w:sz w:val="22"/>
          <w:szCs w:val="22"/>
        </w:rPr>
        <w:t>Independence and autonomy</w:t>
      </w:r>
    </w:p>
    <w:p w14:paraId="19135F4F" w14:textId="42EAAC44" w:rsidR="006475C8" w:rsidRDefault="006475C8" w:rsidP="005F030F">
      <w:pPr>
        <w:pStyle w:val="paragraph"/>
        <w:spacing w:after="120"/>
        <w:textAlignment w:val="baseline"/>
        <w:rPr>
          <w:rFonts w:ascii="Open Sans" w:eastAsia="Aptos" w:hAnsi="Open Sans" w:cs="Open Sans"/>
          <w:sz w:val="22"/>
          <w:szCs w:val="22"/>
        </w:rPr>
      </w:pPr>
      <w:r w:rsidRPr="006475C8">
        <w:rPr>
          <w:rFonts w:ascii="Open Sans" w:eastAsia="Aptos" w:hAnsi="Open Sans" w:cs="Open Sans"/>
          <w:sz w:val="22"/>
          <w:szCs w:val="22"/>
        </w:rPr>
        <w:t>RPs need sufficient strategic, financial and operational autonomy to meet their responsibilities to residents, invest in homes and services, manage risk and respond effectively as circumstances change. This includes enough control over key decisions, finances and delivery arrangements to act when risks arise and for RSH to intervene effectively in the event of serious financial stress.</w:t>
      </w:r>
      <w:r w:rsidR="00F42F43" w:rsidRPr="00F42F43">
        <w:t xml:space="preserve"> </w:t>
      </w:r>
      <w:r w:rsidR="008151CF" w:rsidRPr="008151CF">
        <w:rPr>
          <w:rFonts w:ascii="Open Sans" w:eastAsia="Aptos" w:hAnsi="Open Sans" w:cs="Open Sans"/>
          <w:sz w:val="22"/>
          <w:szCs w:val="22"/>
        </w:rPr>
        <w:t>This is particularly relevant where ownership, management and financial returns sit with different parties</w:t>
      </w:r>
      <w:r w:rsidR="00F42F43" w:rsidRPr="00F42F43">
        <w:rPr>
          <w:rFonts w:ascii="Open Sans" w:eastAsia="Aptos" w:hAnsi="Open Sans" w:cs="Open Sans"/>
          <w:sz w:val="22"/>
          <w:szCs w:val="22"/>
        </w:rPr>
        <w:t xml:space="preserve">, </w:t>
      </w:r>
      <w:r w:rsidR="006D6DFF" w:rsidRPr="006D6DFF">
        <w:rPr>
          <w:rFonts w:ascii="Open Sans" w:eastAsia="Aptos" w:hAnsi="Open Sans" w:cs="Open Sans"/>
          <w:sz w:val="22"/>
          <w:szCs w:val="22"/>
        </w:rPr>
        <w:t xml:space="preserve">as contractual or financial dependencies can restrict the RP’s ability to act. Structures that leave the registered provider </w:t>
      </w:r>
      <w:r w:rsidR="00473C63">
        <w:rPr>
          <w:rFonts w:ascii="Open Sans" w:eastAsia="Aptos" w:hAnsi="Open Sans" w:cs="Open Sans"/>
          <w:sz w:val="22"/>
          <w:szCs w:val="22"/>
        </w:rPr>
        <w:t>constrained (or unable)</w:t>
      </w:r>
      <w:r w:rsidR="006D6DFF" w:rsidRPr="006D6DFF">
        <w:rPr>
          <w:rFonts w:ascii="Open Sans" w:eastAsia="Aptos" w:hAnsi="Open Sans" w:cs="Open Sans"/>
          <w:sz w:val="22"/>
          <w:szCs w:val="22"/>
        </w:rPr>
        <w:t xml:space="preserve"> to exercise meaningful control over decisions, finances or service delivery warrant closer scrutiny.</w:t>
      </w:r>
    </w:p>
    <w:p w14:paraId="347DFD4B" w14:textId="52F837C1" w:rsidR="007114C9" w:rsidRDefault="007114C9" w:rsidP="005F030F">
      <w:pPr>
        <w:pStyle w:val="paragraph"/>
        <w:spacing w:after="120"/>
        <w:textAlignment w:val="baseline"/>
        <w:rPr>
          <w:rFonts w:ascii="Open Sans" w:eastAsia="Aptos" w:hAnsi="Open Sans" w:cs="Open Sans"/>
          <w:sz w:val="22"/>
          <w:szCs w:val="22"/>
        </w:rPr>
      </w:pPr>
      <w:r w:rsidRPr="007114C9">
        <w:rPr>
          <w:rFonts w:ascii="Open Sans" w:eastAsia="Aptos" w:hAnsi="Open Sans" w:cs="Open Sans"/>
          <w:sz w:val="22"/>
          <w:szCs w:val="22"/>
        </w:rPr>
        <w:t>Different ownership, lease and partnership arrangements can meet the same regulatory expectations. Some G15 members have long-standing arrangements where social homes are provided through leases from third-party landowners</w:t>
      </w:r>
      <w:r w:rsidR="07903E84" w:rsidRPr="6D09A807">
        <w:rPr>
          <w:rFonts w:ascii="Open Sans" w:eastAsia="Aptos" w:hAnsi="Open Sans" w:cs="Open Sans"/>
          <w:sz w:val="22"/>
          <w:szCs w:val="22"/>
        </w:rPr>
        <w:t>,</w:t>
      </w:r>
      <w:r w:rsidR="002C6E98">
        <w:rPr>
          <w:rFonts w:ascii="Open Sans" w:eastAsia="Aptos" w:hAnsi="Open Sans" w:cs="Open Sans"/>
          <w:sz w:val="22"/>
          <w:szCs w:val="22"/>
        </w:rPr>
        <w:t xml:space="preserve"> and t</w:t>
      </w:r>
      <w:r w:rsidRPr="007114C9">
        <w:rPr>
          <w:rFonts w:ascii="Open Sans" w:eastAsia="Aptos" w:hAnsi="Open Sans" w:cs="Open Sans"/>
          <w:sz w:val="22"/>
          <w:szCs w:val="22"/>
        </w:rPr>
        <w:t xml:space="preserve">hese arrangements have supported social housing in London successfully for many decades, even where the RP does not ultimately control whether the arrangement can continue in perpetuity. </w:t>
      </w:r>
    </w:p>
    <w:p w14:paraId="5B552F41" w14:textId="128D3BBC" w:rsidR="002C6E98" w:rsidRDefault="00BC6568" w:rsidP="005F030F">
      <w:pPr>
        <w:pStyle w:val="paragraph"/>
        <w:spacing w:after="120"/>
        <w:textAlignment w:val="baseline"/>
        <w:rPr>
          <w:rFonts w:ascii="Open Sans" w:eastAsia="Aptos" w:hAnsi="Open Sans" w:cs="Open Sans"/>
          <w:sz w:val="22"/>
          <w:szCs w:val="22"/>
        </w:rPr>
      </w:pPr>
      <w:r w:rsidRPr="00BC6568">
        <w:rPr>
          <w:rFonts w:ascii="Open Sans" w:eastAsia="Aptos" w:hAnsi="Open Sans" w:cs="Open Sans"/>
          <w:sz w:val="22"/>
          <w:szCs w:val="22"/>
        </w:rPr>
        <w:t xml:space="preserve">RSH’s assessment should distinguish arrangements that constrain a landlord’s ability to fulfil its regulatory responsibilities from long-standing historic, charitable, partnership or heritage arrangements where governance, effective control and </w:t>
      </w:r>
      <w:r w:rsidR="00543A57">
        <w:rPr>
          <w:rFonts w:ascii="Open Sans" w:eastAsia="Aptos" w:hAnsi="Open Sans" w:cs="Open Sans"/>
          <w:sz w:val="22"/>
          <w:szCs w:val="22"/>
        </w:rPr>
        <w:t>account</w:t>
      </w:r>
      <w:r w:rsidR="000F4EC9">
        <w:rPr>
          <w:rFonts w:ascii="Open Sans" w:eastAsia="Aptos" w:hAnsi="Open Sans" w:cs="Open Sans"/>
          <w:sz w:val="22"/>
          <w:szCs w:val="22"/>
        </w:rPr>
        <w:t>ability to r</w:t>
      </w:r>
      <w:r w:rsidR="00BA6314">
        <w:rPr>
          <w:rFonts w:ascii="Open Sans" w:eastAsia="Aptos" w:hAnsi="Open Sans" w:cs="Open Sans"/>
          <w:sz w:val="22"/>
          <w:szCs w:val="22"/>
        </w:rPr>
        <w:t>esident</w:t>
      </w:r>
      <w:r w:rsidR="004C6717">
        <w:rPr>
          <w:rFonts w:ascii="Open Sans" w:eastAsia="Aptos" w:hAnsi="Open Sans" w:cs="Open Sans"/>
          <w:sz w:val="22"/>
          <w:szCs w:val="22"/>
        </w:rPr>
        <w:t>s</w:t>
      </w:r>
      <w:r w:rsidRPr="00BC6568">
        <w:rPr>
          <w:rFonts w:ascii="Open Sans" w:eastAsia="Aptos" w:hAnsi="Open Sans" w:cs="Open Sans"/>
          <w:sz w:val="22"/>
          <w:szCs w:val="22"/>
        </w:rPr>
        <w:t xml:space="preserve"> remain strong</w:t>
      </w:r>
      <w:r w:rsidR="002C6E98" w:rsidRPr="002C6E98">
        <w:rPr>
          <w:rFonts w:ascii="Open Sans" w:eastAsia="Aptos" w:hAnsi="Open Sans" w:cs="Open Sans"/>
          <w:sz w:val="22"/>
          <w:szCs w:val="22"/>
        </w:rPr>
        <w:t>.</w:t>
      </w:r>
      <w:r w:rsidR="00CC7496" w:rsidRPr="00CC7496">
        <w:t xml:space="preserve"> </w:t>
      </w:r>
      <w:r w:rsidR="00CC7496" w:rsidRPr="00CC7496">
        <w:rPr>
          <w:rFonts w:ascii="Open Sans" w:eastAsia="Aptos" w:hAnsi="Open Sans" w:cs="Open Sans"/>
          <w:sz w:val="22"/>
          <w:szCs w:val="22"/>
        </w:rPr>
        <w:t>The same principle applies to homes provided through a range of historic funding arrangements</w:t>
      </w:r>
      <w:r w:rsidR="00F66A5C">
        <w:rPr>
          <w:rFonts w:ascii="Open Sans" w:eastAsia="Aptos" w:hAnsi="Open Sans" w:cs="Open Sans"/>
          <w:sz w:val="22"/>
          <w:szCs w:val="22"/>
        </w:rPr>
        <w:t>. N</w:t>
      </w:r>
      <w:r w:rsidR="00CC7496" w:rsidRPr="00CC7496">
        <w:rPr>
          <w:rFonts w:ascii="Open Sans" w:eastAsia="Aptos" w:hAnsi="Open Sans" w:cs="Open Sans"/>
          <w:sz w:val="22"/>
          <w:szCs w:val="22"/>
        </w:rPr>
        <w:t>ot all social housing has received grant, and the regulatory framework should recognise that the ownership, funding and legal history of social homes varies across the sector.</w:t>
      </w:r>
    </w:p>
    <w:p w14:paraId="4BDCC094" w14:textId="0743A7D2" w:rsidR="004A2DCA" w:rsidRPr="005F030F" w:rsidRDefault="004A2DCA" w:rsidP="005F030F">
      <w:pPr>
        <w:pStyle w:val="paragraph"/>
        <w:spacing w:after="120"/>
        <w:textAlignment w:val="baseline"/>
        <w:rPr>
          <w:rFonts w:ascii="Open Sans" w:eastAsia="Aptos" w:hAnsi="Open Sans" w:cs="Open Sans"/>
          <w:sz w:val="22"/>
          <w:szCs w:val="22"/>
        </w:rPr>
      </w:pPr>
      <w:r w:rsidRPr="004A2DCA">
        <w:rPr>
          <w:rFonts w:ascii="Open Sans" w:eastAsia="Aptos" w:hAnsi="Open Sans" w:cs="Open Sans"/>
          <w:b/>
          <w:bCs/>
          <w:sz w:val="22"/>
          <w:szCs w:val="22"/>
        </w:rPr>
        <w:t>Governance should remain the central test</w:t>
      </w:r>
    </w:p>
    <w:p w14:paraId="0B02FE78" w14:textId="5291D755" w:rsidR="000846F7" w:rsidRDefault="000846F7" w:rsidP="004A2DCA">
      <w:pPr>
        <w:pStyle w:val="paragraph"/>
        <w:spacing w:after="120"/>
        <w:textAlignment w:val="baseline"/>
        <w:rPr>
          <w:rFonts w:ascii="Open Sans" w:eastAsia="Aptos" w:hAnsi="Open Sans" w:cs="Open Sans"/>
          <w:sz w:val="22"/>
          <w:szCs w:val="22"/>
        </w:rPr>
      </w:pPr>
      <w:r w:rsidRPr="000846F7">
        <w:rPr>
          <w:rFonts w:ascii="Open Sans" w:eastAsia="Aptos" w:hAnsi="Open Sans" w:cs="Open Sans"/>
          <w:sz w:val="22"/>
          <w:szCs w:val="22"/>
        </w:rPr>
        <w:t xml:space="preserve">Strong accountability comes from boards being able to demonstrate the evidence, assurance and judgement behind their decisions. RSH’s role </w:t>
      </w:r>
      <w:r>
        <w:rPr>
          <w:rFonts w:ascii="Open Sans" w:eastAsia="Aptos" w:hAnsi="Open Sans" w:cs="Open Sans"/>
          <w:sz w:val="22"/>
          <w:szCs w:val="22"/>
        </w:rPr>
        <w:t>should be</w:t>
      </w:r>
      <w:r w:rsidRPr="000846F7">
        <w:rPr>
          <w:rFonts w:ascii="Open Sans" w:eastAsia="Aptos" w:hAnsi="Open Sans" w:cs="Open Sans"/>
          <w:sz w:val="22"/>
          <w:szCs w:val="22"/>
        </w:rPr>
        <w:t xml:space="preserve"> to test the quality of that governance and compliance with the standards, while boards retain responsibility for detailed investment, development and risk decisions.</w:t>
      </w:r>
    </w:p>
    <w:p w14:paraId="33EC439C" w14:textId="3F2CFF14" w:rsidR="008F2581" w:rsidRDefault="008F2581" w:rsidP="008F2581">
      <w:pPr>
        <w:pStyle w:val="paragraph"/>
        <w:spacing w:after="120"/>
        <w:textAlignment w:val="baseline"/>
        <w:rPr>
          <w:rFonts w:ascii="Open Sans" w:eastAsia="Aptos" w:hAnsi="Open Sans" w:cs="Open Sans"/>
          <w:sz w:val="22"/>
          <w:szCs w:val="22"/>
        </w:rPr>
      </w:pPr>
      <w:r w:rsidRPr="008F2581">
        <w:rPr>
          <w:rFonts w:ascii="Open Sans" w:eastAsia="Aptos" w:hAnsi="Open Sans" w:cs="Open Sans"/>
          <w:sz w:val="22"/>
          <w:szCs w:val="22"/>
        </w:rPr>
        <w:t>Good governance underpins well-evidenced decisions about development, investment in existing homes, risk and long-term financial resilience. Providers manage different types of homes, operate in different places, and have different funding structures and resident priorities. The framework needs to preserve sufficient flexibility for boards to respond to those circumstances and remain clearly accountable for the choices they make.</w:t>
      </w:r>
      <w:r>
        <w:rPr>
          <w:rFonts w:ascii="Open Sans" w:eastAsia="Aptos" w:hAnsi="Open Sans" w:cs="Open Sans"/>
          <w:sz w:val="22"/>
          <w:szCs w:val="22"/>
        </w:rPr>
        <w:t xml:space="preserve"> </w:t>
      </w:r>
      <w:r w:rsidRPr="008F2581">
        <w:rPr>
          <w:rFonts w:ascii="Open Sans" w:eastAsia="Aptos" w:hAnsi="Open Sans" w:cs="Open Sans"/>
          <w:sz w:val="22"/>
          <w:szCs w:val="22"/>
        </w:rPr>
        <w:t>That autonomy allows boards to adjust investment, risk appetite and delivery plans as conditions change, while remaining accountable for the quality and outcomes of those decisions.</w:t>
      </w:r>
    </w:p>
    <w:p w14:paraId="388BCD22" w14:textId="0DBD582C" w:rsidR="004A2DCA" w:rsidRPr="004A2DCA" w:rsidRDefault="004A2DCA" w:rsidP="008F2581">
      <w:pPr>
        <w:pStyle w:val="paragraph"/>
        <w:spacing w:after="120"/>
        <w:textAlignment w:val="baseline"/>
        <w:rPr>
          <w:rFonts w:ascii="Open Sans" w:eastAsia="Aptos" w:hAnsi="Open Sans" w:cs="Open Sans"/>
          <w:b/>
          <w:bCs/>
          <w:sz w:val="22"/>
          <w:szCs w:val="22"/>
        </w:rPr>
      </w:pPr>
      <w:r w:rsidRPr="004A2DCA">
        <w:rPr>
          <w:rFonts w:ascii="Open Sans" w:eastAsia="Aptos" w:hAnsi="Open Sans" w:cs="Open Sans"/>
          <w:b/>
          <w:bCs/>
          <w:sz w:val="22"/>
          <w:szCs w:val="22"/>
        </w:rPr>
        <w:t>Growth and resilience</w:t>
      </w:r>
    </w:p>
    <w:p w14:paraId="0164BE23" w14:textId="39599954" w:rsidR="00D864D3" w:rsidRDefault="00D864D3" w:rsidP="004A2DCA">
      <w:pPr>
        <w:pStyle w:val="paragraph"/>
        <w:spacing w:after="120"/>
        <w:textAlignment w:val="baseline"/>
        <w:rPr>
          <w:rFonts w:ascii="Open Sans" w:eastAsia="Aptos" w:hAnsi="Open Sans" w:cs="Open Sans"/>
          <w:sz w:val="22"/>
          <w:szCs w:val="22"/>
        </w:rPr>
      </w:pPr>
      <w:r w:rsidRPr="00D864D3">
        <w:rPr>
          <w:rFonts w:ascii="Open Sans" w:eastAsia="Aptos" w:hAnsi="Open Sans" w:cs="Open Sans"/>
          <w:sz w:val="22"/>
          <w:szCs w:val="22"/>
        </w:rPr>
        <w:t>Grant availability, borrowing costs, market conditions, planning requirements and investment needs can change materially over the lifetime of a business plan.</w:t>
      </w:r>
      <w:r w:rsidR="006B39D9">
        <w:rPr>
          <w:rFonts w:ascii="Open Sans" w:eastAsia="Aptos" w:hAnsi="Open Sans" w:cs="Open Sans"/>
          <w:sz w:val="22"/>
          <w:szCs w:val="22"/>
        </w:rPr>
        <w:t xml:space="preserve"> Therefore, d</w:t>
      </w:r>
      <w:r w:rsidR="006B39D9" w:rsidRPr="006B39D9">
        <w:rPr>
          <w:rFonts w:ascii="Open Sans" w:eastAsia="Aptos" w:hAnsi="Open Sans" w:cs="Open Sans"/>
          <w:sz w:val="22"/>
          <w:szCs w:val="22"/>
        </w:rPr>
        <w:t>evelopment output alone is an incomplete measure of ambition or capacity.</w:t>
      </w:r>
      <w:r w:rsidR="00BF1F8F" w:rsidRPr="00BF1F8F">
        <w:t xml:space="preserve"> </w:t>
      </w:r>
      <w:r w:rsidR="00BF1F8F" w:rsidRPr="00BF1F8F">
        <w:rPr>
          <w:rFonts w:ascii="Open Sans" w:eastAsia="Aptos" w:hAnsi="Open Sans" w:cs="Open Sans"/>
          <w:sz w:val="22"/>
          <w:szCs w:val="22"/>
        </w:rPr>
        <w:t>The regulatory focus should be on whether boards understand the capacity and risks within their business plan and have made credible, evidence-led decisions about how that capacity is used.</w:t>
      </w:r>
      <w:r w:rsidR="00745784">
        <w:rPr>
          <w:rFonts w:ascii="Open Sans" w:eastAsia="Aptos" w:hAnsi="Open Sans" w:cs="Open Sans"/>
          <w:sz w:val="22"/>
          <w:szCs w:val="22"/>
        </w:rPr>
        <w:t xml:space="preserve"> </w:t>
      </w:r>
      <w:r w:rsidR="0055796A">
        <w:rPr>
          <w:rFonts w:ascii="Open Sans" w:eastAsia="Aptos" w:hAnsi="Open Sans" w:cs="Open Sans"/>
          <w:sz w:val="22"/>
          <w:szCs w:val="22"/>
        </w:rPr>
        <w:t xml:space="preserve">We address </w:t>
      </w:r>
      <w:r w:rsidR="0055796A" w:rsidRPr="0055796A">
        <w:rPr>
          <w:rFonts w:ascii="Open Sans" w:eastAsia="Aptos" w:hAnsi="Open Sans" w:cs="Open Sans"/>
          <w:sz w:val="22"/>
          <w:szCs w:val="22"/>
        </w:rPr>
        <w:t xml:space="preserve">how RSH </w:t>
      </w:r>
      <w:r w:rsidR="0055796A">
        <w:rPr>
          <w:rFonts w:ascii="Open Sans" w:eastAsia="Aptos" w:hAnsi="Open Sans" w:cs="Open Sans"/>
          <w:sz w:val="22"/>
          <w:szCs w:val="22"/>
        </w:rPr>
        <w:t xml:space="preserve">should </w:t>
      </w:r>
      <w:r w:rsidR="0055796A" w:rsidRPr="0055796A">
        <w:rPr>
          <w:rFonts w:ascii="Open Sans" w:eastAsia="Aptos" w:hAnsi="Open Sans" w:cs="Open Sans"/>
          <w:sz w:val="22"/>
          <w:szCs w:val="22"/>
        </w:rPr>
        <w:t xml:space="preserve">assess development capacity and delivery targets </w:t>
      </w:r>
      <w:r w:rsidR="00745784">
        <w:rPr>
          <w:rFonts w:ascii="Open Sans" w:eastAsia="Aptos" w:hAnsi="Open Sans" w:cs="Open Sans"/>
          <w:sz w:val="22"/>
          <w:szCs w:val="22"/>
        </w:rPr>
        <w:t xml:space="preserve">in </w:t>
      </w:r>
      <w:r w:rsidR="0055796A" w:rsidRPr="0055796A">
        <w:rPr>
          <w:rFonts w:ascii="Open Sans" w:eastAsia="Aptos" w:hAnsi="Open Sans" w:cs="Open Sans"/>
          <w:sz w:val="22"/>
          <w:szCs w:val="22"/>
        </w:rPr>
        <w:t>Question 2.</w:t>
      </w:r>
    </w:p>
    <w:p w14:paraId="14525843" w14:textId="77777777" w:rsidR="004A2DCA" w:rsidRPr="004A2DCA" w:rsidRDefault="004A2DCA" w:rsidP="004A2DCA">
      <w:pPr>
        <w:pStyle w:val="paragraph"/>
        <w:spacing w:after="120"/>
        <w:textAlignment w:val="baseline"/>
        <w:rPr>
          <w:rFonts w:ascii="Open Sans" w:eastAsia="Aptos" w:hAnsi="Open Sans" w:cs="Open Sans"/>
          <w:b/>
          <w:bCs/>
          <w:sz w:val="22"/>
          <w:szCs w:val="22"/>
        </w:rPr>
      </w:pPr>
      <w:r w:rsidRPr="009E6B3F">
        <w:rPr>
          <w:rFonts w:ascii="Open Sans" w:eastAsia="Aptos" w:hAnsi="Open Sans" w:cs="Open Sans"/>
          <w:b/>
          <w:bCs/>
          <w:sz w:val="22"/>
          <w:szCs w:val="22"/>
        </w:rPr>
        <w:t>New investment models</w:t>
      </w:r>
    </w:p>
    <w:p w14:paraId="3AB6F3D7" w14:textId="4C42845E" w:rsidR="000432F7" w:rsidRDefault="761673C0" w:rsidP="00743B73">
      <w:pPr>
        <w:pStyle w:val="paragraph"/>
        <w:spacing w:after="120"/>
        <w:textAlignment w:val="baseline"/>
        <w:rPr>
          <w:rFonts w:ascii="Open Sans" w:eastAsia="Aptos" w:hAnsi="Open Sans" w:cs="Open Sans"/>
          <w:sz w:val="22"/>
          <w:szCs w:val="22"/>
        </w:rPr>
      </w:pPr>
      <w:r w:rsidRPr="70B9D8B0">
        <w:rPr>
          <w:rFonts w:ascii="Open Sans" w:eastAsia="Aptos" w:hAnsi="Open Sans" w:cs="Open Sans"/>
          <w:sz w:val="22"/>
          <w:szCs w:val="22"/>
        </w:rPr>
        <w:t>Long-term loans, institutional investment, patient capital and partnership models can broaden funding capacity, s</w:t>
      </w:r>
      <w:r w:rsidR="0359A6CF" w:rsidRPr="70B9D8B0">
        <w:rPr>
          <w:rFonts w:ascii="Open Sans" w:eastAsia="Aptos" w:hAnsi="Open Sans" w:cs="Open Sans"/>
          <w:sz w:val="22"/>
          <w:szCs w:val="22"/>
        </w:rPr>
        <w:t>hare</w:t>
      </w:r>
      <w:r w:rsidRPr="70B9D8B0">
        <w:rPr>
          <w:rFonts w:ascii="Open Sans" w:eastAsia="Aptos" w:hAnsi="Open Sans" w:cs="Open Sans"/>
          <w:sz w:val="22"/>
          <w:szCs w:val="22"/>
        </w:rPr>
        <w:t xml:space="preserve"> risk and bring additional expertise into the sector.</w:t>
      </w:r>
      <w:r w:rsidR="4117DACE">
        <w:t xml:space="preserve"> </w:t>
      </w:r>
      <w:r w:rsidR="4117DACE" w:rsidRPr="70B9D8B0">
        <w:rPr>
          <w:rFonts w:ascii="Open Sans" w:eastAsia="Aptos" w:hAnsi="Open Sans" w:cs="Open Sans"/>
          <w:sz w:val="22"/>
          <w:szCs w:val="22"/>
        </w:rPr>
        <w:t xml:space="preserve">The potential to increase investment or supply should not in itself justify accepting materially greater risks to residents or their homes. New models should be able to demonstrate that risks are understood and appropriately allocated, that the </w:t>
      </w:r>
      <w:r w:rsidR="6E86DCF7" w:rsidRPr="70B9D8B0">
        <w:rPr>
          <w:rFonts w:ascii="Open Sans" w:eastAsia="Aptos" w:hAnsi="Open Sans" w:cs="Open Sans"/>
          <w:sz w:val="22"/>
          <w:szCs w:val="22"/>
        </w:rPr>
        <w:t>RP</w:t>
      </w:r>
      <w:r w:rsidR="4117DACE" w:rsidRPr="70B9D8B0">
        <w:rPr>
          <w:rFonts w:ascii="Open Sans" w:eastAsia="Aptos" w:hAnsi="Open Sans" w:cs="Open Sans"/>
          <w:sz w:val="22"/>
          <w:szCs w:val="22"/>
        </w:rPr>
        <w:t xml:space="preserve"> retains sufficient control to meet its obligations, and that residents and social homes remain protected if the model comes under financial stress.</w:t>
      </w:r>
      <w:r w:rsidR="6A486860">
        <w:t xml:space="preserve"> </w:t>
      </w:r>
      <w:r w:rsidR="6A486860" w:rsidRPr="70B9D8B0">
        <w:rPr>
          <w:rFonts w:ascii="Open Sans" w:eastAsia="Aptos" w:hAnsi="Open Sans" w:cs="Open Sans"/>
          <w:sz w:val="22"/>
          <w:szCs w:val="22"/>
        </w:rPr>
        <w:t>RSH should also consider whether risks are sufficiently contained so that problems within one part of a structure do not undermine the financial resilience of the wider provider.</w:t>
      </w:r>
    </w:p>
    <w:p w14:paraId="7D2B7C91" w14:textId="0C3A6858" w:rsidR="00B55BC4" w:rsidRPr="00F7562F" w:rsidRDefault="00A302B8" w:rsidP="00743B73">
      <w:pPr>
        <w:pStyle w:val="paragraph"/>
        <w:spacing w:after="120"/>
        <w:textAlignment w:val="baseline"/>
        <w:rPr>
          <w:rFonts w:ascii="Open Sans" w:eastAsia="Aptos" w:hAnsi="Open Sans" w:cs="Open Sans"/>
          <w:sz w:val="22"/>
          <w:szCs w:val="22"/>
        </w:rPr>
      </w:pPr>
      <w:r w:rsidRPr="00A302B8">
        <w:rPr>
          <w:rFonts w:ascii="Open Sans" w:eastAsia="Aptos" w:hAnsi="Open Sans" w:cs="Open Sans"/>
          <w:sz w:val="22"/>
          <w:szCs w:val="22"/>
        </w:rPr>
        <w:t xml:space="preserve">The same core regulatory </w:t>
      </w:r>
      <w:r w:rsidR="00E72B9A">
        <w:rPr>
          <w:rFonts w:ascii="Open Sans" w:eastAsia="Aptos" w:hAnsi="Open Sans" w:cs="Open Sans"/>
          <w:sz w:val="22"/>
          <w:szCs w:val="22"/>
        </w:rPr>
        <w:t>outcomes</w:t>
      </w:r>
      <w:r w:rsidRPr="00A302B8">
        <w:rPr>
          <w:rFonts w:ascii="Open Sans" w:eastAsia="Aptos" w:hAnsi="Open Sans" w:cs="Open Sans"/>
          <w:sz w:val="22"/>
          <w:szCs w:val="22"/>
        </w:rPr>
        <w:t xml:space="preserve"> should apply across provider types</w:t>
      </w:r>
      <w:r w:rsidR="00B851B7">
        <w:rPr>
          <w:rFonts w:ascii="Open Sans" w:eastAsia="Aptos" w:hAnsi="Open Sans" w:cs="Open Sans"/>
          <w:sz w:val="22"/>
          <w:szCs w:val="22"/>
        </w:rPr>
        <w:t>:</w:t>
      </w:r>
      <w:r w:rsidRPr="00A302B8">
        <w:rPr>
          <w:rFonts w:ascii="Open Sans" w:eastAsia="Aptos" w:hAnsi="Open Sans" w:cs="Open Sans"/>
          <w:sz w:val="22"/>
          <w:szCs w:val="22"/>
        </w:rPr>
        <w:t xml:space="preserve"> strong governance, financial resilience, </w:t>
      </w:r>
      <w:r w:rsidR="003863F9">
        <w:rPr>
          <w:rFonts w:ascii="Open Sans" w:eastAsia="Aptos" w:hAnsi="Open Sans" w:cs="Open Sans"/>
          <w:sz w:val="22"/>
          <w:szCs w:val="22"/>
        </w:rPr>
        <w:t>acc</w:t>
      </w:r>
      <w:r w:rsidR="005A11F6">
        <w:rPr>
          <w:rFonts w:ascii="Open Sans" w:eastAsia="Aptos" w:hAnsi="Open Sans" w:cs="Open Sans"/>
          <w:sz w:val="22"/>
          <w:szCs w:val="22"/>
        </w:rPr>
        <w:t>ountabil</w:t>
      </w:r>
      <w:r w:rsidR="004D471E">
        <w:rPr>
          <w:rFonts w:ascii="Open Sans" w:eastAsia="Aptos" w:hAnsi="Open Sans" w:cs="Open Sans"/>
          <w:sz w:val="22"/>
          <w:szCs w:val="22"/>
        </w:rPr>
        <w:t>ity</w:t>
      </w:r>
      <w:r w:rsidR="00F47123">
        <w:rPr>
          <w:rFonts w:ascii="Open Sans" w:eastAsia="Aptos" w:hAnsi="Open Sans" w:cs="Open Sans"/>
          <w:sz w:val="22"/>
          <w:szCs w:val="22"/>
        </w:rPr>
        <w:t xml:space="preserve"> to res</w:t>
      </w:r>
      <w:r w:rsidR="00AF4BCB">
        <w:rPr>
          <w:rFonts w:ascii="Open Sans" w:eastAsia="Aptos" w:hAnsi="Open Sans" w:cs="Open Sans"/>
          <w:sz w:val="22"/>
          <w:szCs w:val="22"/>
        </w:rPr>
        <w:t>idents</w:t>
      </w:r>
      <w:r w:rsidRPr="00A302B8">
        <w:rPr>
          <w:rFonts w:ascii="Open Sans" w:eastAsia="Aptos" w:hAnsi="Open Sans" w:cs="Open Sans"/>
          <w:sz w:val="22"/>
          <w:szCs w:val="22"/>
        </w:rPr>
        <w:t xml:space="preserve"> and sufficient control over homes and services</w:t>
      </w:r>
      <w:r w:rsidR="00D423D8">
        <w:rPr>
          <w:rFonts w:ascii="Open Sans" w:eastAsia="Aptos" w:hAnsi="Open Sans" w:cs="Open Sans"/>
          <w:sz w:val="22"/>
          <w:szCs w:val="22"/>
        </w:rPr>
        <w:t>.</w:t>
      </w:r>
      <w:r w:rsidR="00E72B9A">
        <w:rPr>
          <w:rFonts w:ascii="Open Sans" w:eastAsia="Aptos" w:hAnsi="Open Sans" w:cs="Open Sans"/>
          <w:sz w:val="22"/>
          <w:szCs w:val="22"/>
        </w:rPr>
        <w:t xml:space="preserve"> H</w:t>
      </w:r>
      <w:r w:rsidR="00DA613D">
        <w:rPr>
          <w:rFonts w:ascii="Open Sans" w:eastAsia="Aptos" w:hAnsi="Open Sans" w:cs="Open Sans"/>
          <w:sz w:val="22"/>
          <w:szCs w:val="22"/>
        </w:rPr>
        <w:t>owever, h</w:t>
      </w:r>
      <w:r w:rsidR="00E72B9A">
        <w:rPr>
          <w:rFonts w:ascii="Open Sans" w:eastAsia="Aptos" w:hAnsi="Open Sans" w:cs="Open Sans"/>
          <w:sz w:val="22"/>
          <w:szCs w:val="22"/>
        </w:rPr>
        <w:t>ow RSH applies those outcomes should reflect material differences in legal status</w:t>
      </w:r>
      <w:r w:rsidR="00DA613D">
        <w:rPr>
          <w:rFonts w:ascii="Open Sans" w:eastAsia="Aptos" w:hAnsi="Open Sans" w:cs="Open Sans"/>
          <w:sz w:val="22"/>
          <w:szCs w:val="22"/>
        </w:rPr>
        <w:t>,</w:t>
      </w:r>
      <w:r w:rsidR="00E72B9A">
        <w:rPr>
          <w:rFonts w:ascii="Open Sans" w:eastAsia="Aptos" w:hAnsi="Open Sans" w:cs="Open Sans"/>
          <w:sz w:val="22"/>
          <w:szCs w:val="22"/>
        </w:rPr>
        <w:t xml:space="preserve"> </w:t>
      </w:r>
      <w:r w:rsidR="00680518">
        <w:rPr>
          <w:rFonts w:ascii="Open Sans" w:eastAsia="Aptos" w:hAnsi="Open Sans" w:cs="Open Sans"/>
          <w:sz w:val="22"/>
          <w:szCs w:val="22"/>
        </w:rPr>
        <w:t xml:space="preserve">constitutional </w:t>
      </w:r>
      <w:r w:rsidR="00DA613D" w:rsidRPr="00DA613D">
        <w:rPr>
          <w:rFonts w:ascii="Open Sans" w:eastAsia="Aptos" w:hAnsi="Open Sans" w:cs="Open Sans"/>
          <w:sz w:val="22"/>
          <w:szCs w:val="22"/>
        </w:rPr>
        <w:t>purpose, ownership and financial model.</w:t>
      </w:r>
      <w:r w:rsidR="00C9029C">
        <w:rPr>
          <w:rFonts w:ascii="Open Sans" w:eastAsia="Aptos" w:hAnsi="Open Sans" w:cs="Open Sans"/>
          <w:sz w:val="22"/>
          <w:szCs w:val="22"/>
        </w:rPr>
        <w:t xml:space="preserve"> </w:t>
      </w:r>
      <w:r w:rsidR="00C9029C" w:rsidRPr="00C9029C">
        <w:rPr>
          <w:rFonts w:ascii="Open Sans" w:eastAsia="Aptos" w:hAnsi="Open Sans" w:cs="Open Sans"/>
          <w:sz w:val="22"/>
          <w:szCs w:val="22"/>
        </w:rPr>
        <w:t>Charitable duties, the ability to distribute returns to equity investors, and differences in ownership, control and exit arrangements can create different governance and financial risks. These differences should inform the type and intensity of regulatory assurance.</w:t>
      </w:r>
      <w:r w:rsidR="00F7562F">
        <w:rPr>
          <w:rFonts w:ascii="Open Sans" w:eastAsia="Aptos" w:hAnsi="Open Sans" w:cs="Open Sans"/>
          <w:sz w:val="22"/>
          <w:szCs w:val="22"/>
        </w:rPr>
        <w:t xml:space="preserve"> </w:t>
      </w:r>
      <w:r w:rsidR="00D655F3" w:rsidRPr="00D655F3">
        <w:rPr>
          <w:rFonts w:ascii="Open Sans" w:eastAsia="Aptos" w:hAnsi="Open Sans" w:cs="Open Sans"/>
          <w:sz w:val="22"/>
          <w:szCs w:val="22"/>
        </w:rPr>
        <w:t>RSH could consider factors such as leverage, the complexity of financial instruments, reliance on third parties, separation between ownership and management and investor exit arrangements. The provider’s track record and governance capability could also inform the level of assurance required</w:t>
      </w:r>
      <w:r w:rsidR="007176D5" w:rsidRPr="007176D5">
        <w:rPr>
          <w:rFonts w:ascii="Open Sans" w:eastAsia="Aptos" w:hAnsi="Open Sans" w:cs="Open Sans"/>
          <w:sz w:val="22"/>
          <w:szCs w:val="22"/>
        </w:rPr>
        <w:t>.</w:t>
      </w:r>
      <w:r w:rsidR="006969D6" w:rsidRPr="00AD3357">
        <w:rPr>
          <w:rFonts w:ascii="Open Sans" w:eastAsia="Aptos" w:hAnsi="Open Sans" w:cs="Open Sans"/>
          <w:sz w:val="22"/>
          <w:szCs w:val="22"/>
        </w:rPr>
        <w:t xml:space="preserve"> </w:t>
      </w:r>
      <w:r w:rsidR="00510BC7" w:rsidRPr="00510BC7">
        <w:rPr>
          <w:rFonts w:ascii="Open Sans" w:eastAsia="Aptos" w:hAnsi="Open Sans" w:cs="Open Sans"/>
          <w:sz w:val="22"/>
          <w:szCs w:val="22"/>
        </w:rPr>
        <w:t xml:space="preserve">The existing framework already differentiates between local authorities and private registered providers, including in the economic standards that apply. </w:t>
      </w:r>
      <w:r w:rsidR="00343096">
        <w:rPr>
          <w:rFonts w:ascii="Open Sans" w:eastAsia="Aptos" w:hAnsi="Open Sans" w:cs="Open Sans"/>
          <w:sz w:val="22"/>
          <w:szCs w:val="22"/>
        </w:rPr>
        <w:t>Therefore, d</w:t>
      </w:r>
      <w:r w:rsidR="00510BC7" w:rsidRPr="00510BC7">
        <w:rPr>
          <w:rFonts w:ascii="Open Sans" w:eastAsia="Aptos" w:hAnsi="Open Sans" w:cs="Open Sans"/>
          <w:sz w:val="22"/>
          <w:szCs w:val="22"/>
        </w:rPr>
        <w:t>ifferentiation between other provider types would be consistent with the existing approach where differences in legal duties, ownership structures or financial models create distinct regulatory considerations.</w:t>
      </w:r>
      <w:r w:rsidR="00BF679E" w:rsidRPr="00BF679E">
        <w:t xml:space="preserve"> </w:t>
      </w:r>
    </w:p>
    <w:p w14:paraId="60B5BBA2" w14:textId="7A0B18F1" w:rsidR="0020079F" w:rsidRDefault="0020079F" w:rsidP="001343C6">
      <w:pPr>
        <w:pStyle w:val="paragraph"/>
        <w:spacing w:after="120"/>
        <w:textAlignment w:val="baseline"/>
        <w:rPr>
          <w:rFonts w:ascii="Open Sans" w:eastAsia="Aptos" w:hAnsi="Open Sans" w:cs="Open Sans"/>
          <w:sz w:val="22"/>
          <w:szCs w:val="22"/>
        </w:rPr>
      </w:pPr>
      <w:r w:rsidRPr="0020079F">
        <w:rPr>
          <w:rFonts w:ascii="Open Sans" w:eastAsia="Aptos" w:hAnsi="Open Sans" w:cs="Open Sans"/>
          <w:sz w:val="22"/>
          <w:szCs w:val="22"/>
        </w:rPr>
        <w:t>New investment models do not remove the underlying viability gap in social rent. Private finance (debt and equity) still requires a return, so grant remains essential to delivery, particularly in higher-cost areas such as London. RSH should therefore be cautious about assuming that greater tolerance of financial risk will necessarily result in greater social housing supply.</w:t>
      </w:r>
    </w:p>
    <w:p w14:paraId="4B1D406F" w14:textId="074F6DB6" w:rsidR="00952BC7" w:rsidRDefault="0020079F" w:rsidP="00814E49">
      <w:pPr>
        <w:pStyle w:val="paragraph"/>
        <w:spacing w:after="120"/>
        <w:textAlignment w:val="baseline"/>
        <w:rPr>
          <w:rFonts w:ascii="Open Sans" w:eastAsia="Aptos" w:hAnsi="Open Sans" w:cs="Open Sans"/>
          <w:sz w:val="22"/>
          <w:szCs w:val="22"/>
        </w:rPr>
      </w:pPr>
      <w:r>
        <w:rPr>
          <w:rFonts w:ascii="Open Sans" w:eastAsia="Aptos" w:hAnsi="Open Sans" w:cs="Open Sans"/>
          <w:sz w:val="22"/>
          <w:szCs w:val="22"/>
        </w:rPr>
        <w:t>M</w:t>
      </w:r>
      <w:r w:rsidR="00952BC7" w:rsidRPr="00952BC7">
        <w:rPr>
          <w:rFonts w:ascii="Open Sans" w:eastAsia="Aptos" w:hAnsi="Open Sans" w:cs="Open Sans"/>
          <w:sz w:val="22"/>
          <w:szCs w:val="22"/>
        </w:rPr>
        <w:t>embers would welcome clarity around terms such as “exotic financial instruments” and “new and innovative models”. Providers need to understand which characteristics RSH considers higher risk, what additional assurance those characteristics would trigger and how that judgement will be applied consistently.</w:t>
      </w:r>
    </w:p>
    <w:p w14:paraId="5EF8024F" w14:textId="679B47C5" w:rsidR="00814E49" w:rsidRPr="00814E49" w:rsidRDefault="00814E49" w:rsidP="00814E49">
      <w:pPr>
        <w:pStyle w:val="paragraph"/>
        <w:spacing w:after="120"/>
        <w:textAlignment w:val="baseline"/>
        <w:rPr>
          <w:rFonts w:ascii="Open Sans" w:eastAsia="Aptos" w:hAnsi="Open Sans" w:cs="Open Sans"/>
          <w:b/>
          <w:bCs/>
          <w:sz w:val="22"/>
          <w:szCs w:val="22"/>
        </w:rPr>
      </w:pPr>
      <w:r w:rsidRPr="00814E49">
        <w:rPr>
          <w:rFonts w:ascii="Open Sans" w:eastAsia="Aptos" w:hAnsi="Open Sans" w:cs="Open Sans"/>
          <w:b/>
          <w:bCs/>
          <w:sz w:val="22"/>
          <w:szCs w:val="22"/>
        </w:rPr>
        <w:t>Registration and new entrants</w:t>
      </w:r>
    </w:p>
    <w:p w14:paraId="6E8EABEF" w14:textId="1DB7144F" w:rsidR="00814E49" w:rsidRPr="00814E49" w:rsidRDefault="001343C6" w:rsidP="00814E49">
      <w:pPr>
        <w:spacing w:before="100" w:beforeAutospacing="1" w:after="100" w:afterAutospacing="1" w:line="240" w:lineRule="auto"/>
        <w:rPr>
          <w:rFonts w:ascii="Open Sans" w:eastAsia="Aptos" w:hAnsi="Open Sans" w:cs="Open Sans"/>
          <w:kern w:val="0"/>
          <w:sz w:val="22"/>
          <w:szCs w:val="22"/>
          <w:lang w:eastAsia="en-GB"/>
          <w14:ligatures w14:val="none"/>
        </w:rPr>
      </w:pPr>
      <w:r w:rsidRPr="001343C6">
        <w:rPr>
          <w:rFonts w:ascii="Open Sans" w:eastAsia="Aptos" w:hAnsi="Open Sans" w:cs="Open Sans"/>
          <w:kern w:val="0"/>
          <w:sz w:val="22"/>
          <w:szCs w:val="22"/>
          <w:lang w:eastAsia="en-GB"/>
          <w14:ligatures w14:val="none"/>
        </w:rPr>
        <w:t>Registration should remain robust for new entrants, with scrutiny reflecting the characteristics and risks of the proposed provider. There is also scope for a more proportionate route where an established registered provider creates another RP within the same group.</w:t>
      </w:r>
      <w:r>
        <w:rPr>
          <w:rFonts w:ascii="Open Sans" w:eastAsia="Aptos" w:hAnsi="Open Sans" w:cs="Open Sans"/>
          <w:kern w:val="0"/>
          <w:sz w:val="22"/>
          <w:szCs w:val="22"/>
          <w:lang w:eastAsia="en-GB"/>
          <w14:ligatures w14:val="none"/>
        </w:rPr>
        <w:t xml:space="preserve"> </w:t>
      </w:r>
      <w:r w:rsidR="009E0EB9" w:rsidRPr="009E0EB9">
        <w:rPr>
          <w:rFonts w:ascii="Open Sans" w:eastAsia="Aptos" w:hAnsi="Open Sans" w:cs="Open Sans"/>
          <w:kern w:val="0"/>
          <w:sz w:val="22"/>
          <w:szCs w:val="22"/>
          <w:lang w:eastAsia="en-GB"/>
          <w14:ligatures w14:val="none"/>
        </w:rPr>
        <w:t xml:space="preserve">In those cases, RSH should make use of relevant assurance it already holds about the parent organisation’s governance, financial resilience and regulatory track record. The registration process can then concentrate on what is genuinely new or different about the proposed entity, including its purpose, governance and control arrangements, financial model and relationship with the wider group. </w:t>
      </w:r>
      <w:r w:rsidR="00042173" w:rsidRPr="00042173">
        <w:rPr>
          <w:rFonts w:ascii="Open Sans" w:eastAsia="Aptos" w:hAnsi="Open Sans" w:cs="Open Sans"/>
          <w:kern w:val="0"/>
          <w:sz w:val="22"/>
          <w:szCs w:val="22"/>
          <w:lang w:eastAsia="en-GB"/>
          <w14:ligatures w14:val="none"/>
        </w:rPr>
        <w:t>This would maintain appropriate safeguards for residents and their homes while reducing duplication of assurance already undertaken by RSH.</w:t>
      </w:r>
    </w:p>
    <w:p w14:paraId="53E26B64" w14:textId="6551A3FA" w:rsidR="004A2DCA" w:rsidRPr="004A2DCA" w:rsidRDefault="004A2DCA" w:rsidP="00743B73">
      <w:pPr>
        <w:pStyle w:val="paragraph"/>
        <w:spacing w:after="120"/>
        <w:textAlignment w:val="baseline"/>
        <w:rPr>
          <w:rFonts w:ascii="Open Sans" w:eastAsia="Aptos" w:hAnsi="Open Sans" w:cs="Open Sans"/>
          <w:b/>
          <w:bCs/>
          <w:sz w:val="22"/>
          <w:szCs w:val="22"/>
        </w:rPr>
      </w:pPr>
      <w:r w:rsidRPr="004A2DCA">
        <w:rPr>
          <w:rFonts w:ascii="Open Sans" w:eastAsia="Aptos" w:hAnsi="Open Sans" w:cs="Open Sans"/>
          <w:b/>
          <w:bCs/>
          <w:sz w:val="22"/>
          <w:szCs w:val="22"/>
        </w:rPr>
        <w:t>Failing safely</w:t>
      </w:r>
    </w:p>
    <w:p w14:paraId="783AB361" w14:textId="6194AA22" w:rsidR="00042173" w:rsidRDefault="00042173" w:rsidP="004A2DCA">
      <w:pPr>
        <w:pStyle w:val="paragraph"/>
        <w:spacing w:after="120"/>
        <w:textAlignment w:val="baseline"/>
        <w:rPr>
          <w:rFonts w:ascii="Open Sans" w:eastAsia="Aptos" w:hAnsi="Open Sans" w:cs="Open Sans"/>
          <w:sz w:val="22"/>
          <w:szCs w:val="22"/>
        </w:rPr>
      </w:pPr>
      <w:r w:rsidRPr="00042173">
        <w:rPr>
          <w:rFonts w:ascii="Open Sans" w:eastAsia="Aptos" w:hAnsi="Open Sans" w:cs="Open Sans"/>
          <w:sz w:val="22"/>
          <w:szCs w:val="22"/>
        </w:rPr>
        <w:t xml:space="preserve">Providers should be financially resilient and well governed, with the structures and controls needed to avoid failure wherever possible. </w:t>
      </w:r>
      <w:r w:rsidR="00CF360B" w:rsidRPr="00CF360B">
        <w:rPr>
          <w:rFonts w:ascii="Open Sans" w:eastAsia="Aptos" w:hAnsi="Open Sans" w:cs="Open Sans"/>
          <w:sz w:val="22"/>
          <w:szCs w:val="22"/>
        </w:rPr>
        <w:t>The sector’s long-standing no-loss-on-default record for secured creditors, alongside strong economic regulation, supports credit ratings, lender and investor confidence and access to competitively priced finance. This directly affects the capacity available for residents’ existing homes and future supply.</w:t>
      </w:r>
    </w:p>
    <w:p w14:paraId="7C4BC4F7" w14:textId="7FAF8A81" w:rsidR="004A2DCA" w:rsidRDefault="00360814" w:rsidP="00360814">
      <w:pPr>
        <w:pStyle w:val="paragraph"/>
        <w:spacing w:after="120"/>
        <w:textAlignment w:val="baseline"/>
        <w:rPr>
          <w:rFonts w:ascii="Open Sans" w:eastAsia="Aptos" w:hAnsi="Open Sans" w:cs="Open Sans"/>
          <w:sz w:val="22"/>
          <w:szCs w:val="22"/>
        </w:rPr>
      </w:pPr>
      <w:r w:rsidRPr="00360814">
        <w:rPr>
          <w:rFonts w:ascii="Open Sans" w:eastAsia="Aptos" w:hAnsi="Open Sans" w:cs="Open Sans"/>
          <w:sz w:val="22"/>
          <w:szCs w:val="22"/>
        </w:rPr>
        <w:t>Financial failure should remain exceptional. The future framework should strengthen early warning, recovery and resolution planning, while avoiding signals that could be read as normalising default or weakening the regulatory protections that have supported investor confidence. Where serious financial stress does arise, it should be managed in an orderly way. Residents should continue to receive services, their homes should be protected and RSH should be able to work effectively with boards, lenders and government where intervention is required.</w:t>
      </w:r>
    </w:p>
    <w:p w14:paraId="3A86F9E4" w14:textId="77777777" w:rsidR="00792DEA" w:rsidRPr="00166710" w:rsidRDefault="00792DEA" w:rsidP="00360814">
      <w:pPr>
        <w:pStyle w:val="paragraph"/>
        <w:spacing w:after="120"/>
        <w:textAlignment w:val="baseline"/>
        <w:rPr>
          <w:rFonts w:ascii="Open Sans" w:eastAsia="Aptos" w:hAnsi="Open Sans" w:cs="Open Sans"/>
          <w:sz w:val="22"/>
          <w:szCs w:val="22"/>
          <w:highlight w:val="yellow"/>
        </w:rPr>
      </w:pPr>
    </w:p>
    <w:p w14:paraId="6EA0FD26" w14:textId="77777777" w:rsidR="00BA5F5A" w:rsidRPr="00BA5F5A" w:rsidRDefault="00BA5F5A" w:rsidP="00792DEA">
      <w:pPr>
        <w:pStyle w:val="paragraph"/>
        <w:spacing w:after="120"/>
        <w:jc w:val="center"/>
        <w:textAlignment w:val="baseline"/>
        <w:rPr>
          <w:rFonts w:ascii="Open Sans" w:eastAsia="Aptos" w:hAnsi="Open Sans" w:cs="Open Sans"/>
          <w:b/>
          <w:bCs/>
          <w:sz w:val="22"/>
          <w:szCs w:val="22"/>
        </w:rPr>
      </w:pPr>
      <w:r w:rsidRPr="00BA5F5A">
        <w:rPr>
          <w:rFonts w:ascii="Open Sans" w:eastAsia="Aptos" w:hAnsi="Open Sans" w:cs="Open Sans"/>
          <w:b/>
          <w:bCs/>
          <w:sz w:val="22"/>
          <w:szCs w:val="22"/>
        </w:rPr>
        <w:t>Question 2: Accountability for more and better homes</w:t>
      </w:r>
    </w:p>
    <w:p w14:paraId="4769A5C7" w14:textId="4939AB67" w:rsidR="00BD4D63" w:rsidRPr="000A77A1" w:rsidRDefault="00BA5F5A" w:rsidP="0099594B">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Please give your views on how we can further drive landlord accountability in the delivery of more and better homes.</w:t>
      </w:r>
    </w:p>
    <w:p w14:paraId="52AB3CA1" w14:textId="5BD447E2" w:rsidR="00704FEC" w:rsidRDefault="00AD3357" w:rsidP="0099594B">
      <w:pPr>
        <w:pStyle w:val="paragraph"/>
        <w:spacing w:after="120"/>
        <w:textAlignment w:val="baseline"/>
      </w:pPr>
      <w:r w:rsidRPr="00AD3357">
        <w:rPr>
          <w:rFonts w:ascii="Open Sans" w:eastAsia="Aptos" w:hAnsi="Open Sans" w:cs="Open Sans"/>
          <w:sz w:val="22"/>
          <w:szCs w:val="22"/>
        </w:rPr>
        <w:t>Boards should remain responsible for strategy and investment decisions, informed by resident priorities and supported by appropriate resident engagement and governance arrangements. Across G15 members, this includes a range of formal resident governance roles and routes for resident views to inform Board decision-making. RSH should set the regulatory outcomes, test the quality of governance and assurance behind those decisions, and hold providers to account for meeting the standards without substituting its own judgement for that of the Board</w:t>
      </w:r>
      <w:r w:rsidR="00F65CA7" w:rsidRPr="00187E9B">
        <w:rPr>
          <w:rFonts w:ascii="Open Sans" w:eastAsia="Aptos" w:hAnsi="Open Sans" w:cs="Open Sans"/>
          <w:color w:val="FF0000"/>
          <w:sz w:val="22"/>
          <w:szCs w:val="22"/>
        </w:rPr>
        <w:t>.</w:t>
      </w:r>
    </w:p>
    <w:p w14:paraId="76BA9075" w14:textId="1AFA300F" w:rsidR="00D92C0A" w:rsidRDefault="00960C00" w:rsidP="0099594B">
      <w:pPr>
        <w:pStyle w:val="paragraph"/>
        <w:spacing w:after="120"/>
        <w:textAlignment w:val="baseline"/>
        <w:rPr>
          <w:rFonts w:ascii="Open Sans" w:eastAsia="Aptos" w:hAnsi="Open Sans" w:cs="Open Sans"/>
          <w:sz w:val="22"/>
          <w:szCs w:val="22"/>
        </w:rPr>
      </w:pPr>
      <w:r w:rsidRPr="00960C00">
        <w:rPr>
          <w:rFonts w:ascii="Open Sans" w:eastAsia="Aptos" w:hAnsi="Open Sans" w:cs="Open Sans"/>
          <w:sz w:val="22"/>
          <w:szCs w:val="22"/>
        </w:rPr>
        <w:t>Any new economic requirements should build on this existing accountability framework and</w:t>
      </w:r>
      <w:r w:rsidR="006C72A1" w:rsidRPr="006C72A1">
        <w:rPr>
          <w:rFonts w:ascii="Open Sans" w:eastAsia="Aptos" w:hAnsi="Open Sans" w:cs="Open Sans"/>
          <w:sz w:val="22"/>
          <w:szCs w:val="22"/>
        </w:rPr>
        <w:t xml:space="preserve"> work coherently with the consumer standards, which place expectations on landlords around transparency, engagement and resident influence. </w:t>
      </w:r>
    </w:p>
    <w:p w14:paraId="54A6E77E" w14:textId="79FAFDAB" w:rsidR="00BA5F5A" w:rsidRPr="00BA5F5A" w:rsidRDefault="00BA5F5A" w:rsidP="006A3DA2">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Scrutiny of plans and performance</w:t>
      </w:r>
    </w:p>
    <w:p w14:paraId="469701A9" w14:textId="1BEB41D5" w:rsidR="00AB4053" w:rsidRDefault="002347F4" w:rsidP="00747ECA">
      <w:pPr>
        <w:pStyle w:val="paragraph"/>
        <w:spacing w:after="120"/>
        <w:textAlignment w:val="baseline"/>
        <w:rPr>
          <w:rFonts w:ascii="Open Sans" w:eastAsia="Aptos" w:hAnsi="Open Sans" w:cs="Open Sans"/>
          <w:sz w:val="22"/>
          <w:szCs w:val="22"/>
        </w:rPr>
      </w:pPr>
      <w:r>
        <w:rPr>
          <w:rFonts w:ascii="Open Sans" w:eastAsia="Aptos" w:hAnsi="Open Sans" w:cs="Open Sans"/>
          <w:sz w:val="22"/>
          <w:szCs w:val="22"/>
        </w:rPr>
        <w:t>R</w:t>
      </w:r>
      <w:r w:rsidR="0038047F" w:rsidRPr="0038047F">
        <w:rPr>
          <w:rFonts w:ascii="Open Sans" w:eastAsia="Aptos" w:hAnsi="Open Sans" w:cs="Open Sans"/>
          <w:sz w:val="22"/>
          <w:szCs w:val="22"/>
        </w:rPr>
        <w:t>SH should set clear regulatory outcomes and scrutinise whether providers have robust plans, credible assumptions, clear governance and effective assurance.</w:t>
      </w:r>
      <w:r w:rsidR="0038047F">
        <w:rPr>
          <w:rFonts w:ascii="Open Sans" w:eastAsia="Aptos" w:hAnsi="Open Sans" w:cs="Open Sans"/>
          <w:sz w:val="22"/>
          <w:szCs w:val="22"/>
        </w:rPr>
        <w:t xml:space="preserve"> </w:t>
      </w:r>
      <w:r w:rsidR="00747ECA" w:rsidRPr="00747ECA">
        <w:rPr>
          <w:rFonts w:ascii="Open Sans" w:eastAsia="Aptos" w:hAnsi="Open Sans" w:cs="Open Sans"/>
          <w:sz w:val="22"/>
          <w:szCs w:val="22"/>
        </w:rPr>
        <w:t xml:space="preserve">It should be able to challenge weak planning, poor data, unrealistic assumptions or decisions that put </w:t>
      </w:r>
      <w:r w:rsidR="00871961">
        <w:rPr>
          <w:rFonts w:ascii="Open Sans" w:eastAsia="Aptos" w:hAnsi="Open Sans" w:cs="Open Sans"/>
          <w:sz w:val="22"/>
          <w:szCs w:val="22"/>
        </w:rPr>
        <w:t>residents</w:t>
      </w:r>
      <w:r w:rsidR="00747ECA" w:rsidRPr="00747ECA">
        <w:rPr>
          <w:rFonts w:ascii="Open Sans" w:eastAsia="Aptos" w:hAnsi="Open Sans" w:cs="Open Sans"/>
          <w:sz w:val="22"/>
          <w:szCs w:val="22"/>
        </w:rPr>
        <w:t xml:space="preserve">, </w:t>
      </w:r>
      <w:r w:rsidR="00257A26">
        <w:rPr>
          <w:rFonts w:ascii="Open Sans" w:eastAsia="Aptos" w:hAnsi="Open Sans" w:cs="Open Sans"/>
          <w:sz w:val="22"/>
          <w:szCs w:val="22"/>
        </w:rPr>
        <w:t xml:space="preserve">their </w:t>
      </w:r>
      <w:r w:rsidR="00747ECA" w:rsidRPr="00747ECA">
        <w:rPr>
          <w:rFonts w:ascii="Open Sans" w:eastAsia="Aptos" w:hAnsi="Open Sans" w:cs="Open Sans"/>
          <w:sz w:val="22"/>
          <w:szCs w:val="22"/>
        </w:rPr>
        <w:t>homes or financial viability at risk.</w:t>
      </w:r>
      <w:r w:rsidR="00747ECA">
        <w:rPr>
          <w:rFonts w:ascii="Open Sans" w:eastAsia="Aptos" w:hAnsi="Open Sans" w:cs="Open Sans"/>
          <w:sz w:val="22"/>
          <w:szCs w:val="22"/>
        </w:rPr>
        <w:t xml:space="preserve"> </w:t>
      </w:r>
      <w:r w:rsidR="00E82F51" w:rsidRPr="00E82F51">
        <w:rPr>
          <w:rFonts w:ascii="Open Sans" w:eastAsia="Aptos" w:hAnsi="Open Sans" w:cs="Open Sans"/>
          <w:sz w:val="22"/>
          <w:szCs w:val="22"/>
        </w:rPr>
        <w:t xml:space="preserve">Boards should be able to explain the evidence behind their strategy, how residents have informed relevant priorities, how risks have been assessed </w:t>
      </w:r>
      <w:r w:rsidR="007D6DA6" w:rsidRPr="007D6DA6">
        <w:rPr>
          <w:rFonts w:ascii="Open Sans" w:eastAsia="Aptos" w:hAnsi="Open Sans" w:cs="Open Sans"/>
          <w:sz w:val="22"/>
          <w:szCs w:val="22"/>
        </w:rPr>
        <w:t>and why they have chosen a particular balance between competing uses of capacity.</w:t>
      </w:r>
      <w:r w:rsidR="00B02B79" w:rsidRPr="00B02B79">
        <w:t xml:space="preserve"> </w:t>
      </w:r>
      <w:r w:rsidR="00B02B79" w:rsidRPr="00B02B79">
        <w:rPr>
          <w:rFonts w:ascii="Open Sans" w:eastAsia="Aptos" w:hAnsi="Open Sans" w:cs="Open Sans"/>
          <w:sz w:val="22"/>
          <w:szCs w:val="22"/>
        </w:rPr>
        <w:t>Detailed strategy, targets and the balance of investment should, however, remain matters for Boards rather than RSH seeking to endorse a particular strategy or substitute its preferred priorities for Board judgement.</w:t>
      </w:r>
      <w:r w:rsidR="00CE763C">
        <w:rPr>
          <w:rFonts w:ascii="Open Sans" w:eastAsia="Aptos" w:hAnsi="Open Sans" w:cs="Open Sans"/>
          <w:sz w:val="22"/>
          <w:szCs w:val="22"/>
        </w:rPr>
        <w:t xml:space="preserve"> </w:t>
      </w:r>
      <w:r w:rsidR="00CE763C" w:rsidRPr="00CE763C">
        <w:rPr>
          <w:rFonts w:ascii="Open Sans" w:eastAsia="Aptos" w:hAnsi="Open Sans" w:cs="Open Sans"/>
          <w:sz w:val="22"/>
          <w:szCs w:val="22"/>
        </w:rPr>
        <w:t>RSH should also clarify what it means by “more specific and exacting requirements” for business plans, including what additional information or assurance it expects and how this would differ from existing requirements.</w:t>
      </w:r>
    </w:p>
    <w:p w14:paraId="347A13F3" w14:textId="77777777" w:rsidR="00B02B79" w:rsidRDefault="00B02B79" w:rsidP="00747ECA">
      <w:pPr>
        <w:pStyle w:val="paragraph"/>
        <w:spacing w:after="120"/>
        <w:textAlignment w:val="baseline"/>
        <w:rPr>
          <w:rFonts w:ascii="Open Sans" w:eastAsia="Aptos" w:hAnsi="Open Sans" w:cs="Open Sans"/>
          <w:sz w:val="22"/>
          <w:szCs w:val="22"/>
        </w:rPr>
      </w:pPr>
      <w:r w:rsidRPr="00B02B79">
        <w:rPr>
          <w:rFonts w:ascii="Open Sans" w:eastAsia="Aptos" w:hAnsi="Open Sans" w:cs="Open Sans"/>
          <w:sz w:val="22"/>
          <w:szCs w:val="22"/>
        </w:rPr>
        <w:t>The framework should also take a long-term view. In-year metrics can miss longer-term progress towards more and better homes, particularly where providers are investing in regeneration, estate renewal, building safety, decency, data, services or the quality of existing homes. Different providers and communities may reasonably reach different conclusions about the appropriate balance between these priorities, reflecting different resident needs, local circumstances and organisational contexts.</w:t>
      </w:r>
    </w:p>
    <w:p w14:paraId="7E408FD4" w14:textId="3C0204AC" w:rsidR="00BA5F5A" w:rsidRPr="00BA5F5A" w:rsidRDefault="00BA5F5A" w:rsidP="00747ECA">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Capacity appraisals and delivery targets</w:t>
      </w:r>
    </w:p>
    <w:p w14:paraId="123D6665" w14:textId="4892C14D" w:rsidR="002D4E2B" w:rsidRDefault="006C45DE" w:rsidP="001C4616">
      <w:pPr>
        <w:pStyle w:val="paragraph"/>
        <w:spacing w:after="120"/>
        <w:textAlignment w:val="baseline"/>
        <w:rPr>
          <w:rFonts w:ascii="Open Sans" w:eastAsia="Aptos" w:hAnsi="Open Sans" w:cs="Open Sans"/>
          <w:sz w:val="22"/>
          <w:szCs w:val="22"/>
        </w:rPr>
      </w:pPr>
      <w:r w:rsidRPr="006C45DE">
        <w:rPr>
          <w:rFonts w:ascii="Open Sans" w:eastAsia="Aptos" w:hAnsi="Open Sans" w:cs="Open Sans"/>
          <w:sz w:val="22"/>
          <w:szCs w:val="22"/>
        </w:rPr>
        <w:t xml:space="preserve">Boards should already understand their development capacity through robust business planning. </w:t>
      </w:r>
      <w:r w:rsidR="00925984" w:rsidRPr="00925984">
        <w:rPr>
          <w:rFonts w:ascii="Open Sans" w:eastAsia="Aptos" w:hAnsi="Open Sans" w:cs="Open Sans"/>
          <w:sz w:val="22"/>
          <w:szCs w:val="22"/>
        </w:rPr>
        <w:t xml:space="preserve">G15 members are major delivery partners and remain committed to using available capacity to increase social housing supply. </w:t>
      </w:r>
      <w:r w:rsidR="008D561A" w:rsidRPr="008D561A">
        <w:rPr>
          <w:rFonts w:ascii="Open Sans" w:eastAsia="Aptos" w:hAnsi="Open Sans" w:cs="Open Sans"/>
          <w:sz w:val="22"/>
          <w:szCs w:val="22"/>
        </w:rPr>
        <w:t>That commitment is reflected in the latest Social and Affordable Homes Programme allocations, where three G15 members were awarded almost £1 billion in grant as Strategic Partners to deliver around 7,700 homes outside London.</w:t>
      </w:r>
    </w:p>
    <w:p w14:paraId="2FA92D27" w14:textId="4D56B3D2" w:rsidR="00463BEC" w:rsidRDefault="00925984" w:rsidP="001C4616">
      <w:pPr>
        <w:pStyle w:val="paragraph"/>
        <w:spacing w:after="120"/>
        <w:textAlignment w:val="baseline"/>
        <w:rPr>
          <w:rFonts w:ascii="Open Sans" w:eastAsia="Aptos" w:hAnsi="Open Sans" w:cs="Open Sans"/>
          <w:sz w:val="22"/>
          <w:szCs w:val="22"/>
        </w:rPr>
      </w:pPr>
      <w:r w:rsidRPr="00925984">
        <w:rPr>
          <w:rFonts w:ascii="Open Sans" w:eastAsia="Aptos" w:hAnsi="Open Sans" w:cs="Open Sans"/>
          <w:sz w:val="22"/>
          <w:szCs w:val="22"/>
        </w:rPr>
        <w:t>We support RSH scrutinising providers’ own assessments of capacity and the evidence and judgements behind them. If a specific appraisal or publication requirement</w:t>
      </w:r>
      <w:r w:rsidR="00022A62">
        <w:rPr>
          <w:rFonts w:ascii="Open Sans" w:eastAsia="Aptos" w:hAnsi="Open Sans" w:cs="Open Sans"/>
          <w:sz w:val="22"/>
          <w:szCs w:val="22"/>
        </w:rPr>
        <w:t xml:space="preserve"> we</w:t>
      </w:r>
      <w:r w:rsidR="00BC2262">
        <w:rPr>
          <w:rFonts w:ascii="Open Sans" w:eastAsia="Aptos" w:hAnsi="Open Sans" w:cs="Open Sans"/>
          <w:sz w:val="22"/>
          <w:szCs w:val="22"/>
        </w:rPr>
        <w:t>re to</w:t>
      </w:r>
      <w:r w:rsidR="00BE1226">
        <w:rPr>
          <w:rFonts w:ascii="Open Sans" w:eastAsia="Aptos" w:hAnsi="Open Sans" w:cs="Open Sans"/>
          <w:sz w:val="22"/>
          <w:szCs w:val="22"/>
        </w:rPr>
        <w:t xml:space="preserve"> be in</w:t>
      </w:r>
      <w:r w:rsidR="00DA432F">
        <w:rPr>
          <w:rFonts w:ascii="Open Sans" w:eastAsia="Aptos" w:hAnsi="Open Sans" w:cs="Open Sans"/>
          <w:sz w:val="22"/>
          <w:szCs w:val="22"/>
        </w:rPr>
        <w:t>troduced</w:t>
      </w:r>
      <w:r w:rsidR="00145F01">
        <w:rPr>
          <w:rFonts w:ascii="Open Sans" w:eastAsia="Aptos" w:hAnsi="Open Sans" w:cs="Open Sans"/>
          <w:sz w:val="22"/>
          <w:szCs w:val="22"/>
        </w:rPr>
        <w:t>,</w:t>
      </w:r>
      <w:r w:rsidRPr="00925984">
        <w:rPr>
          <w:rFonts w:ascii="Open Sans" w:eastAsia="Aptos" w:hAnsi="Open Sans" w:cs="Open Sans"/>
          <w:sz w:val="22"/>
          <w:szCs w:val="22"/>
        </w:rPr>
        <w:t xml:space="preserve"> it should be clear how that information will be used, what regulatory judgement it is intended to support and what would follow where delivery differs from a provider’s assessment or target.</w:t>
      </w:r>
    </w:p>
    <w:p w14:paraId="09CB7DDD" w14:textId="28B6B9EB" w:rsidR="006C45DE" w:rsidRDefault="00034543" w:rsidP="5E3B5541">
      <w:pPr>
        <w:pStyle w:val="paragraph"/>
        <w:rPr>
          <w:rFonts w:ascii="Open Sans" w:eastAsia="Aptos" w:hAnsi="Open Sans" w:cs="Open Sans"/>
          <w:sz w:val="22"/>
          <w:szCs w:val="22"/>
        </w:rPr>
      </w:pPr>
      <w:r w:rsidRPr="00034543">
        <w:rPr>
          <w:rFonts w:ascii="Open Sans" w:eastAsia="Aptos" w:hAnsi="Open Sans" w:cs="Open Sans"/>
          <w:sz w:val="22"/>
          <w:szCs w:val="22"/>
        </w:rPr>
        <w:t>Responsibility for deciding how capacity is deployed should remain with boards, informed by resident priorities and their responsibilities to current and future residents.</w:t>
      </w:r>
      <w:r w:rsidR="000B7ECA">
        <w:rPr>
          <w:rFonts w:ascii="Open Sans" w:eastAsia="Aptos" w:hAnsi="Open Sans" w:cs="Open Sans"/>
          <w:sz w:val="22"/>
          <w:szCs w:val="22"/>
        </w:rPr>
        <w:t xml:space="preserve"> </w:t>
      </w:r>
      <w:r w:rsidR="006D3178" w:rsidRPr="006D3178">
        <w:rPr>
          <w:rFonts w:ascii="Open Sans" w:eastAsia="Aptos" w:hAnsi="Open Sans" w:cs="Open Sans"/>
          <w:sz w:val="22"/>
          <w:szCs w:val="22"/>
        </w:rPr>
        <w:t xml:space="preserve">RSH should not seek to establish a separate regulatory view of a provider’s theoretical maximum development capacity. This would blur accountability between boards and the regulator </w:t>
      </w:r>
      <w:r w:rsidR="00EC2F78">
        <w:rPr>
          <w:rFonts w:ascii="Open Sans" w:eastAsia="Aptos" w:hAnsi="Open Sans" w:cs="Open Sans"/>
          <w:sz w:val="22"/>
          <w:szCs w:val="22"/>
        </w:rPr>
        <w:t xml:space="preserve">by </w:t>
      </w:r>
      <w:r w:rsidR="00383CAA">
        <w:rPr>
          <w:rFonts w:ascii="Open Sans" w:eastAsia="Aptos" w:hAnsi="Open Sans" w:cs="Open Sans"/>
          <w:sz w:val="22"/>
          <w:szCs w:val="22"/>
        </w:rPr>
        <w:t xml:space="preserve">moving beyond </w:t>
      </w:r>
      <w:r w:rsidR="006D3178" w:rsidRPr="006D3178">
        <w:rPr>
          <w:rFonts w:ascii="Open Sans" w:eastAsia="Aptos" w:hAnsi="Open Sans" w:cs="Open Sans"/>
          <w:sz w:val="22"/>
          <w:szCs w:val="22"/>
        </w:rPr>
        <w:t xml:space="preserve">regulatory assurance </w:t>
      </w:r>
      <w:r w:rsidR="007C1205">
        <w:rPr>
          <w:rFonts w:ascii="Open Sans" w:eastAsia="Aptos" w:hAnsi="Open Sans" w:cs="Open Sans"/>
          <w:sz w:val="22"/>
          <w:szCs w:val="22"/>
        </w:rPr>
        <w:t>in</w:t>
      </w:r>
      <w:r w:rsidR="006D3178" w:rsidRPr="006D3178">
        <w:rPr>
          <w:rFonts w:ascii="Open Sans" w:eastAsia="Aptos" w:hAnsi="Open Sans" w:cs="Open Sans"/>
          <w:sz w:val="22"/>
          <w:szCs w:val="22"/>
        </w:rPr>
        <w:t xml:space="preserve">to </w:t>
      </w:r>
      <w:r w:rsidR="007C1205">
        <w:rPr>
          <w:rFonts w:ascii="Open Sans" w:eastAsia="Aptos" w:hAnsi="Open Sans" w:cs="Open Sans"/>
          <w:sz w:val="22"/>
          <w:szCs w:val="22"/>
        </w:rPr>
        <w:t>decisions about how much de</w:t>
      </w:r>
      <w:r w:rsidR="006D3178" w:rsidRPr="006D3178">
        <w:rPr>
          <w:rFonts w:ascii="Open Sans" w:eastAsia="Aptos" w:hAnsi="Open Sans" w:cs="Open Sans"/>
          <w:sz w:val="22"/>
          <w:szCs w:val="22"/>
        </w:rPr>
        <w:t xml:space="preserve">velopment a provider ought to undertake. Publication of comparable capacity figures could add to that risk by allowing those figures to become de facto delivery targets, irrespective of </w:t>
      </w:r>
      <w:r w:rsidR="006D3178" w:rsidRPr="6D643668">
        <w:rPr>
          <w:rFonts w:ascii="Open Sans" w:eastAsia="Aptos" w:hAnsi="Open Sans" w:cs="Open Sans"/>
          <w:sz w:val="22"/>
          <w:szCs w:val="22"/>
        </w:rPr>
        <w:t>c</w:t>
      </w:r>
      <w:r w:rsidR="447CBF9A" w:rsidRPr="6D643668">
        <w:rPr>
          <w:rFonts w:ascii="Open Sans" w:eastAsia="Aptos" w:hAnsi="Open Sans" w:cs="Open Sans"/>
          <w:sz w:val="22"/>
          <w:szCs w:val="22"/>
        </w:rPr>
        <w:t>hanges in</w:t>
      </w:r>
      <w:r w:rsidR="006D3178" w:rsidRPr="006D3178">
        <w:rPr>
          <w:rFonts w:ascii="Open Sans" w:eastAsia="Aptos" w:hAnsi="Open Sans" w:cs="Open Sans"/>
          <w:sz w:val="22"/>
          <w:szCs w:val="22"/>
        </w:rPr>
        <w:t xml:space="preserve"> scheme, market or investment conditions.</w:t>
      </w:r>
    </w:p>
    <w:p w14:paraId="364D0B05" w14:textId="08DA381D" w:rsidR="00ED2DD4" w:rsidRDefault="00EC1820" w:rsidP="001C4616">
      <w:pPr>
        <w:pStyle w:val="paragraph"/>
        <w:spacing w:after="120"/>
        <w:textAlignment w:val="baseline"/>
      </w:pPr>
      <w:r w:rsidRPr="00EC1820">
        <w:rPr>
          <w:rFonts w:ascii="Open Sans" w:eastAsia="Aptos" w:hAnsi="Open Sans" w:cs="Open Sans"/>
          <w:sz w:val="22"/>
          <w:szCs w:val="22"/>
        </w:rPr>
        <w:t>RSH should distinguish between a provider’s overall development capacity and the viability of individual schemes</w:t>
      </w:r>
      <w:r w:rsidR="005E5AA7" w:rsidRPr="005E5AA7">
        <w:rPr>
          <w:rFonts w:ascii="Open Sans" w:eastAsia="Aptos" w:hAnsi="Open Sans" w:cs="Open Sans"/>
          <w:sz w:val="22"/>
          <w:szCs w:val="22"/>
        </w:rPr>
        <w:t>.</w:t>
      </w:r>
      <w:r w:rsidR="005E5AA7">
        <w:rPr>
          <w:rFonts w:ascii="Open Sans" w:eastAsia="Aptos" w:hAnsi="Open Sans" w:cs="Open Sans"/>
          <w:sz w:val="22"/>
          <w:szCs w:val="22"/>
        </w:rPr>
        <w:t xml:space="preserve"> </w:t>
      </w:r>
      <w:r w:rsidR="00B967FF" w:rsidRPr="00B967FF">
        <w:rPr>
          <w:rFonts w:ascii="Open Sans" w:eastAsia="Aptos" w:hAnsi="Open Sans" w:cs="Open Sans"/>
          <w:sz w:val="22"/>
          <w:szCs w:val="22"/>
        </w:rPr>
        <w:t>A provider may have financial capacity, effective governance and an appetite to invest while individual schemes remain unviable.</w:t>
      </w:r>
      <w:r w:rsidR="00432167" w:rsidRPr="00045A65">
        <w:rPr>
          <w:rFonts w:ascii="Open Sans" w:eastAsia="Aptos" w:hAnsi="Open Sans" w:cs="Open Sans"/>
          <w:sz w:val="22"/>
          <w:szCs w:val="22"/>
        </w:rPr>
        <w:t xml:space="preserve"> </w:t>
      </w:r>
      <w:r w:rsidR="006A4D11">
        <w:rPr>
          <w:rFonts w:ascii="Open Sans" w:eastAsia="Aptos" w:hAnsi="Open Sans" w:cs="Open Sans"/>
          <w:sz w:val="22"/>
          <w:szCs w:val="22"/>
        </w:rPr>
        <w:t>Furthe</w:t>
      </w:r>
      <w:r w:rsidR="00570D76">
        <w:rPr>
          <w:rFonts w:ascii="Open Sans" w:eastAsia="Aptos" w:hAnsi="Open Sans" w:cs="Open Sans"/>
          <w:sz w:val="22"/>
          <w:szCs w:val="22"/>
        </w:rPr>
        <w:t xml:space="preserve">rmore, </w:t>
      </w:r>
      <w:r w:rsidR="00DB2265">
        <w:rPr>
          <w:rFonts w:ascii="Open Sans" w:eastAsia="Aptos" w:hAnsi="Open Sans" w:cs="Open Sans"/>
          <w:sz w:val="22"/>
          <w:szCs w:val="22"/>
        </w:rPr>
        <w:t>a</w:t>
      </w:r>
      <w:r w:rsidR="0069665C" w:rsidRPr="00045A65">
        <w:rPr>
          <w:rFonts w:ascii="Open Sans" w:eastAsia="Aptos" w:hAnsi="Open Sans" w:cs="Open Sans"/>
          <w:sz w:val="22"/>
          <w:szCs w:val="22"/>
        </w:rPr>
        <w:t xml:space="preserve"> scheme or delivery target that was credible when a business plan was agreed may need to change as external conditions, investment requirements or organisational risks change. Business plans may also have to absorb new policy, legislative and regulatory requirements outside providers’ control, which can alter investment needs, costs and available capacity after an appraisal or target has been set.</w:t>
      </w:r>
      <w:r w:rsidR="003140E9" w:rsidRPr="003140E9">
        <w:t xml:space="preserve"> </w:t>
      </w:r>
      <w:r w:rsidR="003140E9" w:rsidRPr="003140E9">
        <w:rPr>
          <w:rFonts w:ascii="Open Sans" w:eastAsia="Aptos" w:hAnsi="Open Sans" w:cs="Open Sans"/>
          <w:sz w:val="22"/>
          <w:szCs w:val="22"/>
        </w:rPr>
        <w:t>The framework should allow boards to respond to those changes and explain the basis for revised plans or targets.</w:t>
      </w:r>
    </w:p>
    <w:p w14:paraId="4E7398D5" w14:textId="3E7A7FF1" w:rsidR="00AB6D5A" w:rsidRDefault="00AB6D5A" w:rsidP="00AB6D5A">
      <w:pPr>
        <w:pStyle w:val="paragraph"/>
        <w:spacing w:after="120"/>
        <w:textAlignment w:val="baseline"/>
        <w:rPr>
          <w:rFonts w:ascii="Open Sans" w:eastAsia="Aptos" w:hAnsi="Open Sans" w:cs="Open Sans"/>
          <w:sz w:val="22"/>
          <w:szCs w:val="22"/>
        </w:rPr>
      </w:pPr>
      <w:r w:rsidRPr="00AB6D5A">
        <w:rPr>
          <w:rFonts w:ascii="Open Sans" w:eastAsia="Aptos" w:hAnsi="Open Sans" w:cs="Open Sans"/>
          <w:sz w:val="22"/>
          <w:szCs w:val="22"/>
        </w:rPr>
        <w:t xml:space="preserve">RSH’s assurance should therefore focus on whether boards have a robust view of available capacity, have considered alternative uses of that capacity and can explain decisions to proceed, pause or withdraw from development. </w:t>
      </w:r>
      <w:r w:rsidR="002770FF" w:rsidRPr="002770FF">
        <w:rPr>
          <w:rFonts w:ascii="Open Sans" w:eastAsia="Aptos" w:hAnsi="Open Sans" w:cs="Open Sans"/>
          <w:sz w:val="22"/>
          <w:szCs w:val="22"/>
        </w:rPr>
        <w:t>Capacity assessments and delivery targets need to remain capable of changing where the evidence and circumstances underpinning them change.</w:t>
      </w:r>
    </w:p>
    <w:p w14:paraId="2EC2911B" w14:textId="1705A40F" w:rsidR="00BA5F5A" w:rsidRPr="00BA5F5A" w:rsidRDefault="00BA5F5A" w:rsidP="00AB6D5A">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Development risk and viability ratings</w:t>
      </w:r>
    </w:p>
    <w:p w14:paraId="025D46D2" w14:textId="4A7B106D" w:rsidR="00B97046" w:rsidRDefault="00B97046" w:rsidP="00D141E3">
      <w:pPr>
        <w:pStyle w:val="paragraph"/>
        <w:spacing w:after="120"/>
        <w:textAlignment w:val="baseline"/>
        <w:rPr>
          <w:rFonts w:ascii="Open Sans" w:eastAsia="Aptos" w:hAnsi="Open Sans" w:cs="Open Sans"/>
          <w:sz w:val="22"/>
          <w:szCs w:val="22"/>
        </w:rPr>
      </w:pPr>
      <w:r w:rsidRPr="00B97046">
        <w:rPr>
          <w:rFonts w:ascii="Open Sans" w:eastAsia="Aptos" w:hAnsi="Open Sans" w:cs="Open Sans"/>
          <w:sz w:val="22"/>
          <w:szCs w:val="22"/>
        </w:rPr>
        <w:t>Development activity can reduce financial headroom and put pressure on viability metrics even where the risks are deliberate, well understood and managed. Those effects should remain visible in RSH’s assessment of viability, but the framework needs to distinguish the planned financial impact of responsible development from weaknesses in governance or financial management.</w:t>
      </w:r>
      <w:r w:rsidR="00435699">
        <w:rPr>
          <w:rFonts w:ascii="Open Sans" w:eastAsia="Aptos" w:hAnsi="Open Sans" w:cs="Open Sans"/>
          <w:sz w:val="22"/>
          <w:szCs w:val="22"/>
        </w:rPr>
        <w:t xml:space="preserve"> Therefore, i</w:t>
      </w:r>
      <w:r w:rsidR="00435699" w:rsidRPr="00435699">
        <w:rPr>
          <w:rFonts w:ascii="Open Sans" w:eastAsia="Aptos" w:hAnsi="Open Sans" w:cs="Open Sans"/>
          <w:sz w:val="22"/>
          <w:szCs w:val="22"/>
        </w:rPr>
        <w:t>ndividual financial metrics should inform regulatory judgement rather than operate as hard thresholds</w:t>
      </w:r>
      <w:r w:rsidR="00435699">
        <w:rPr>
          <w:rFonts w:ascii="Open Sans" w:eastAsia="Aptos" w:hAnsi="Open Sans" w:cs="Open Sans"/>
          <w:sz w:val="22"/>
          <w:szCs w:val="22"/>
        </w:rPr>
        <w:t xml:space="preserve">, with their </w:t>
      </w:r>
      <w:r w:rsidR="00435699" w:rsidRPr="00435699">
        <w:rPr>
          <w:rFonts w:ascii="Open Sans" w:eastAsia="Aptos" w:hAnsi="Open Sans" w:cs="Open Sans"/>
          <w:sz w:val="22"/>
          <w:szCs w:val="22"/>
        </w:rPr>
        <w:t>significance considered in the context of the provider’s business model, investment programme and risk profile.</w:t>
      </w:r>
      <w:r w:rsidR="00E530ED" w:rsidRPr="00E530ED">
        <w:t xml:space="preserve"> </w:t>
      </w:r>
      <w:r w:rsidR="00E530ED" w:rsidRPr="00E530ED">
        <w:rPr>
          <w:rFonts w:ascii="Open Sans" w:eastAsia="Aptos" w:hAnsi="Open Sans" w:cs="Open Sans"/>
          <w:sz w:val="22"/>
          <w:szCs w:val="22"/>
        </w:rPr>
        <w:t>Where governance, risk management and financial controls are strong, providers should retain scope to take well-managed strategic risk within the regulatory standards.</w:t>
      </w:r>
    </w:p>
    <w:p w14:paraId="0A3816E4" w14:textId="7D44A764" w:rsidR="006950F0" w:rsidRDefault="006950F0" w:rsidP="00D141E3">
      <w:pPr>
        <w:pStyle w:val="paragraph"/>
        <w:spacing w:after="120"/>
        <w:textAlignment w:val="baseline"/>
        <w:rPr>
          <w:rFonts w:ascii="Open Sans" w:eastAsia="Aptos" w:hAnsi="Open Sans" w:cs="Open Sans"/>
          <w:sz w:val="22"/>
          <w:szCs w:val="22"/>
        </w:rPr>
      </w:pPr>
      <w:r w:rsidRPr="006950F0">
        <w:rPr>
          <w:rFonts w:ascii="Open Sans" w:eastAsia="Aptos" w:hAnsi="Open Sans" w:cs="Open Sans"/>
          <w:sz w:val="22"/>
          <w:szCs w:val="22"/>
        </w:rPr>
        <w:t>The review should look beyond the V1/V2 distinction and consider whether the underlying metrics used to assess financial strength remain fit for purpose as providers are encouraged to deliver more. In particular, members have raised concerns about whether some interest-cover measures provide a balanced picture of developing associations because of the treatment of development-related income and expenditure. RSH’s metrics should distinguish genuine weakness from the planned financial effects of development and long-term investment, and should not create incentives that work against responsible use of capacity.</w:t>
      </w:r>
    </w:p>
    <w:p w14:paraId="1BBE0D76" w14:textId="1FD7F72D" w:rsidR="00174471" w:rsidRDefault="006950F0" w:rsidP="00D141E3">
      <w:pPr>
        <w:pStyle w:val="paragraph"/>
        <w:spacing w:after="120"/>
        <w:textAlignment w:val="baseline"/>
        <w:rPr>
          <w:rFonts w:ascii="Open Sans" w:eastAsia="Aptos" w:hAnsi="Open Sans" w:cs="Open Sans"/>
          <w:sz w:val="22"/>
          <w:szCs w:val="22"/>
        </w:rPr>
      </w:pPr>
      <w:r w:rsidRPr="006950F0">
        <w:rPr>
          <w:rFonts w:ascii="Open Sans" w:eastAsia="Aptos" w:hAnsi="Open Sans" w:cs="Open Sans"/>
          <w:sz w:val="22"/>
          <w:szCs w:val="22"/>
        </w:rPr>
        <w:t>RSH should also consider whether</w:t>
      </w:r>
      <w:r>
        <w:rPr>
          <w:rFonts w:ascii="Open Sans" w:eastAsia="Aptos" w:hAnsi="Open Sans" w:cs="Open Sans"/>
          <w:sz w:val="22"/>
          <w:szCs w:val="22"/>
        </w:rPr>
        <w:t xml:space="preserve"> </w:t>
      </w:r>
      <w:r w:rsidR="001F0C17" w:rsidRPr="001F0C17">
        <w:rPr>
          <w:rFonts w:ascii="Open Sans" w:eastAsia="Aptos" w:hAnsi="Open Sans" w:cs="Open Sans"/>
          <w:sz w:val="22"/>
          <w:szCs w:val="22"/>
        </w:rPr>
        <w:t xml:space="preserve">V1 and V2 </w:t>
      </w:r>
      <w:r w:rsidRPr="006950F0">
        <w:rPr>
          <w:rFonts w:ascii="Open Sans" w:eastAsia="Aptos" w:hAnsi="Open Sans" w:cs="Open Sans"/>
          <w:sz w:val="22"/>
          <w:szCs w:val="22"/>
        </w:rPr>
        <w:t>continue to provide meaningful differentiation for providers</w:t>
      </w:r>
      <w:r w:rsidR="00933855">
        <w:rPr>
          <w:rFonts w:ascii="Open Sans" w:eastAsia="Aptos" w:hAnsi="Open Sans" w:cs="Open Sans"/>
          <w:sz w:val="22"/>
          <w:szCs w:val="22"/>
        </w:rPr>
        <w:t xml:space="preserve">, lenders </w:t>
      </w:r>
      <w:r w:rsidRPr="006950F0">
        <w:rPr>
          <w:rFonts w:ascii="Open Sans" w:eastAsia="Aptos" w:hAnsi="Open Sans" w:cs="Open Sans"/>
          <w:sz w:val="22"/>
          <w:szCs w:val="22"/>
        </w:rPr>
        <w:t xml:space="preserve">and </w:t>
      </w:r>
      <w:r w:rsidR="00933855">
        <w:rPr>
          <w:rFonts w:ascii="Open Sans" w:eastAsia="Aptos" w:hAnsi="Open Sans" w:cs="Open Sans"/>
          <w:sz w:val="22"/>
          <w:szCs w:val="22"/>
        </w:rPr>
        <w:t xml:space="preserve">other </w:t>
      </w:r>
      <w:r w:rsidRPr="006950F0">
        <w:rPr>
          <w:rFonts w:ascii="Open Sans" w:eastAsia="Aptos" w:hAnsi="Open Sans" w:cs="Open Sans"/>
          <w:sz w:val="22"/>
          <w:szCs w:val="22"/>
        </w:rPr>
        <w:t>external stakeholders</w:t>
      </w:r>
      <w:r w:rsidR="00933855">
        <w:rPr>
          <w:rFonts w:ascii="Open Sans" w:eastAsia="Aptos" w:hAnsi="Open Sans" w:cs="Open Sans"/>
          <w:sz w:val="22"/>
          <w:szCs w:val="22"/>
        </w:rPr>
        <w:t>.</w:t>
      </w:r>
      <w:r w:rsidRPr="006950F0">
        <w:rPr>
          <w:rFonts w:ascii="Open Sans" w:eastAsia="Aptos" w:hAnsi="Open Sans" w:cs="Open Sans"/>
          <w:sz w:val="22"/>
          <w:szCs w:val="22"/>
        </w:rPr>
        <w:t xml:space="preserve"> </w:t>
      </w:r>
      <w:r w:rsidR="00A21C8E">
        <w:rPr>
          <w:rFonts w:ascii="Open Sans" w:eastAsia="Aptos" w:hAnsi="Open Sans" w:cs="Open Sans"/>
          <w:sz w:val="22"/>
          <w:szCs w:val="22"/>
        </w:rPr>
        <w:t>I</w:t>
      </w:r>
      <w:r w:rsidR="00A21C8E" w:rsidRPr="00A21C8E">
        <w:rPr>
          <w:rFonts w:ascii="Open Sans" w:eastAsia="Aptos" w:hAnsi="Open Sans" w:cs="Open Sans"/>
          <w:sz w:val="22"/>
          <w:szCs w:val="22"/>
        </w:rPr>
        <w:t>t should be clearer about the factors and evidence that distinguish V1 from V2, how movement between the gradings is assessed and how it distinguishes well-managed strategic risk from financial weakness. That clarity should define the regulatory boundary without prescribing a single acceptable risk appetite for Boards.</w:t>
      </w:r>
      <w:r w:rsidR="00A21C8E">
        <w:rPr>
          <w:rFonts w:ascii="Open Sans" w:eastAsia="Aptos" w:hAnsi="Open Sans" w:cs="Open Sans"/>
          <w:sz w:val="22"/>
          <w:szCs w:val="22"/>
        </w:rPr>
        <w:t xml:space="preserve"> </w:t>
      </w:r>
      <w:r w:rsidR="004A7E6B" w:rsidRPr="004A7E6B">
        <w:rPr>
          <w:rFonts w:ascii="Open Sans" w:eastAsia="Aptos" w:hAnsi="Open Sans" w:cs="Open Sans"/>
          <w:sz w:val="22"/>
          <w:szCs w:val="22"/>
        </w:rPr>
        <w:t>While the current grading framework is well understood, that alone does not mean it continues to provide the most useful picture of financial strength or emerging risk.</w:t>
      </w:r>
      <w:r w:rsidR="004A7E6B">
        <w:rPr>
          <w:rFonts w:ascii="Open Sans" w:eastAsia="Aptos" w:hAnsi="Open Sans" w:cs="Open Sans"/>
          <w:sz w:val="22"/>
          <w:szCs w:val="22"/>
        </w:rPr>
        <w:t xml:space="preserve"> </w:t>
      </w:r>
      <w:r w:rsidR="00AD0E33" w:rsidRPr="00AD0E33">
        <w:rPr>
          <w:rFonts w:ascii="Open Sans" w:eastAsia="Aptos" w:hAnsi="Open Sans" w:cs="Open Sans"/>
          <w:sz w:val="22"/>
          <w:szCs w:val="22"/>
        </w:rPr>
        <w:t>RSH should consider whether more qualitative commentary, including an outlook or direction-of-travel indicator, could complement the existing grading framework and provide a clearer picture of emerging risk</w:t>
      </w:r>
      <w:r w:rsidR="004A7E6B" w:rsidRPr="004A7E6B">
        <w:rPr>
          <w:rFonts w:ascii="Open Sans" w:eastAsia="Aptos" w:hAnsi="Open Sans" w:cs="Open Sans"/>
          <w:sz w:val="22"/>
          <w:szCs w:val="22"/>
        </w:rPr>
        <w:t>. A framework intended to support greater supply needs a coherent relationship between its expectations on development and its assessment of the financial risks associated with delivering it.</w:t>
      </w:r>
    </w:p>
    <w:p w14:paraId="21858FAA" w14:textId="1BBC2401" w:rsidR="00BA5F5A" w:rsidRPr="00BA5F5A" w:rsidRDefault="00BA5F5A" w:rsidP="00174471">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Existing homes investment and financial headroom</w:t>
      </w:r>
    </w:p>
    <w:p w14:paraId="7CF4A944" w14:textId="0195663D" w:rsidR="00877839" w:rsidRDefault="00174471" w:rsidP="00BA5F5A">
      <w:pPr>
        <w:pStyle w:val="paragraph"/>
        <w:spacing w:after="120"/>
        <w:textAlignment w:val="baseline"/>
        <w:rPr>
          <w:rFonts w:ascii="Open Sans" w:eastAsia="Aptos" w:hAnsi="Open Sans" w:cs="Open Sans"/>
          <w:sz w:val="22"/>
          <w:szCs w:val="22"/>
        </w:rPr>
      </w:pPr>
      <w:r w:rsidRPr="00174471">
        <w:rPr>
          <w:rFonts w:ascii="Open Sans" w:eastAsia="Aptos" w:hAnsi="Open Sans" w:cs="Open Sans"/>
          <w:sz w:val="22"/>
          <w:szCs w:val="22"/>
        </w:rPr>
        <w:t>Investment in existing homes is fundamental to resident safety, quality and experience.</w:t>
      </w:r>
      <w:r>
        <w:rPr>
          <w:rFonts w:ascii="Open Sans" w:eastAsia="Aptos" w:hAnsi="Open Sans" w:cs="Open Sans"/>
          <w:sz w:val="22"/>
          <w:szCs w:val="22"/>
        </w:rPr>
        <w:t xml:space="preserve"> </w:t>
      </w:r>
      <w:r w:rsidR="00877839" w:rsidRPr="00877839">
        <w:rPr>
          <w:rFonts w:ascii="Open Sans" w:eastAsia="Aptos" w:hAnsi="Open Sans" w:cs="Open Sans"/>
          <w:sz w:val="22"/>
          <w:szCs w:val="22"/>
        </w:rPr>
        <w:t>New supply, building safety, decency, retrofit, damp and mould remediation, repairs, resident services and wider operational resilience all draw on the same financial resources, management capacity and risk appetite. Providers do not have separate pools of capacity for each objective.</w:t>
      </w:r>
    </w:p>
    <w:p w14:paraId="4B2C23C2" w14:textId="61E5A4A5" w:rsidR="00BA5F5A" w:rsidRPr="00BA5F5A" w:rsidRDefault="002920F3" w:rsidP="00BA5F5A">
      <w:pPr>
        <w:pStyle w:val="paragraph"/>
        <w:spacing w:after="120"/>
        <w:textAlignment w:val="baseline"/>
        <w:rPr>
          <w:rFonts w:ascii="Open Sans" w:eastAsia="Aptos" w:hAnsi="Open Sans" w:cs="Open Sans"/>
          <w:sz w:val="22"/>
          <w:szCs w:val="22"/>
        </w:rPr>
      </w:pPr>
      <w:r w:rsidRPr="002920F3">
        <w:rPr>
          <w:rFonts w:ascii="Open Sans" w:eastAsia="Aptos" w:hAnsi="Open Sans" w:cs="Open Sans"/>
          <w:sz w:val="22"/>
          <w:szCs w:val="22"/>
        </w:rPr>
        <w:t>RSH’s assessment of development capacity therefore needs to consider the whole investment plan, including the condition and needs of residents’ existing homes, major safety obligations, decarbonisation plans, service commitments, funding position and risk profile</w:t>
      </w:r>
      <w:r w:rsidR="00BA5F5A" w:rsidRPr="00BA5F5A">
        <w:rPr>
          <w:rFonts w:ascii="Open Sans" w:eastAsia="Aptos" w:hAnsi="Open Sans" w:cs="Open Sans"/>
          <w:sz w:val="22"/>
          <w:szCs w:val="22"/>
        </w:rPr>
        <w:t>.</w:t>
      </w:r>
      <w:r w:rsidR="00A334F9">
        <w:rPr>
          <w:rFonts w:ascii="Open Sans" w:eastAsia="Aptos" w:hAnsi="Open Sans" w:cs="Open Sans"/>
          <w:sz w:val="22"/>
          <w:szCs w:val="22"/>
        </w:rPr>
        <w:t xml:space="preserve"> </w:t>
      </w:r>
      <w:r w:rsidR="00BA5F5A" w:rsidRPr="00BA5F5A">
        <w:rPr>
          <w:rFonts w:ascii="Open Sans" w:eastAsia="Aptos" w:hAnsi="Open Sans" w:cs="Open Sans"/>
          <w:sz w:val="22"/>
          <w:szCs w:val="22"/>
        </w:rPr>
        <w:t>A sustainable approach to more and better social homes should treat investment in existing homes and new supply as connected parts of the same long-term goal.</w:t>
      </w:r>
    </w:p>
    <w:p w14:paraId="7764ACFA" w14:textId="77777777" w:rsidR="00BA5F5A" w:rsidRPr="00BA5F5A" w:rsidRDefault="00BA5F5A" w:rsidP="00BA5F5A">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Regeneration and replacement supply</w:t>
      </w:r>
    </w:p>
    <w:p w14:paraId="50DDD95A" w14:textId="1D4CBBE3" w:rsidR="00103D8F" w:rsidRDefault="00BA5F5A" w:rsidP="0030190B">
      <w:pPr>
        <w:pStyle w:val="paragraph"/>
        <w:spacing w:after="120"/>
        <w:textAlignment w:val="baseline"/>
        <w:rPr>
          <w:rFonts w:ascii="Open Sans" w:eastAsia="Aptos" w:hAnsi="Open Sans" w:cs="Open Sans"/>
          <w:sz w:val="22"/>
          <w:szCs w:val="22"/>
        </w:rPr>
      </w:pPr>
      <w:r w:rsidRPr="00BA5F5A">
        <w:rPr>
          <w:rFonts w:ascii="Open Sans" w:eastAsia="Aptos" w:hAnsi="Open Sans" w:cs="Open Sans"/>
          <w:sz w:val="22"/>
          <w:szCs w:val="22"/>
        </w:rPr>
        <w:t xml:space="preserve">The framework should also recognise the specific impact of regeneration and </w:t>
      </w:r>
      <w:r w:rsidR="009F4E29">
        <w:rPr>
          <w:rFonts w:ascii="Open Sans" w:eastAsia="Aptos" w:hAnsi="Open Sans" w:cs="Open Sans"/>
          <w:sz w:val="22"/>
          <w:szCs w:val="22"/>
        </w:rPr>
        <w:t xml:space="preserve">the replacement of homes. </w:t>
      </w:r>
      <w:r w:rsidR="00296532">
        <w:rPr>
          <w:rFonts w:ascii="Open Sans" w:eastAsia="Aptos" w:hAnsi="Open Sans" w:cs="Open Sans"/>
          <w:sz w:val="22"/>
          <w:szCs w:val="22"/>
        </w:rPr>
        <w:t>For example, s</w:t>
      </w:r>
      <w:r w:rsidRPr="00BA5F5A">
        <w:rPr>
          <w:rFonts w:ascii="Open Sans" w:eastAsia="Aptos" w:hAnsi="Open Sans" w:cs="Open Sans"/>
          <w:sz w:val="22"/>
          <w:szCs w:val="22"/>
        </w:rPr>
        <w:t>ome providers are expected by government agencies, including Homes England and the Greater London Authority</w:t>
      </w:r>
      <w:r w:rsidR="00375179">
        <w:rPr>
          <w:rFonts w:ascii="Open Sans" w:eastAsia="Aptos" w:hAnsi="Open Sans" w:cs="Open Sans"/>
          <w:sz w:val="22"/>
          <w:szCs w:val="22"/>
        </w:rPr>
        <w:t xml:space="preserve"> (GLA)</w:t>
      </w:r>
      <w:r w:rsidRPr="00BA5F5A">
        <w:rPr>
          <w:rFonts w:ascii="Open Sans" w:eastAsia="Aptos" w:hAnsi="Open Sans" w:cs="Open Sans"/>
          <w:sz w:val="22"/>
          <w:szCs w:val="22"/>
        </w:rPr>
        <w:t xml:space="preserve">, to regenerate poor-performing estates and provide additional social homes where possible. These schemes are often more expensive and slower </w:t>
      </w:r>
      <w:r w:rsidR="00296532">
        <w:rPr>
          <w:rFonts w:ascii="Open Sans" w:eastAsia="Aptos" w:hAnsi="Open Sans" w:cs="Open Sans"/>
          <w:sz w:val="22"/>
          <w:szCs w:val="22"/>
        </w:rPr>
        <w:t xml:space="preserve">to conclude </w:t>
      </w:r>
      <w:r w:rsidRPr="00BA5F5A">
        <w:rPr>
          <w:rFonts w:ascii="Open Sans" w:eastAsia="Aptos" w:hAnsi="Open Sans" w:cs="Open Sans"/>
          <w:sz w:val="22"/>
          <w:szCs w:val="22"/>
        </w:rPr>
        <w:t>than new build schemes. They can involve buying out residents who previously exercised Right to Buy, demolition costs, phased delivery on occupied estates, and the need to secure vacant possession before later phases can proceed.</w:t>
      </w:r>
      <w:r w:rsidR="00AC4BC4">
        <w:rPr>
          <w:rFonts w:ascii="Open Sans" w:eastAsia="Aptos" w:hAnsi="Open Sans" w:cs="Open Sans"/>
          <w:sz w:val="22"/>
          <w:szCs w:val="22"/>
        </w:rPr>
        <w:t xml:space="preserve"> </w:t>
      </w:r>
      <w:r w:rsidR="00547CE9" w:rsidRPr="00547CE9">
        <w:rPr>
          <w:rFonts w:ascii="Open Sans" w:eastAsia="Aptos" w:hAnsi="Open Sans" w:cs="Open Sans"/>
          <w:sz w:val="22"/>
          <w:szCs w:val="22"/>
        </w:rPr>
        <w:t>Funding can therefore be committed for longer periods, reducing the capacity available for other development.</w:t>
      </w:r>
      <w:r w:rsidR="005A3B1A">
        <w:rPr>
          <w:rFonts w:ascii="Open Sans" w:eastAsia="Aptos" w:hAnsi="Open Sans" w:cs="Open Sans"/>
          <w:sz w:val="22"/>
          <w:szCs w:val="22"/>
        </w:rPr>
        <w:t xml:space="preserve"> </w:t>
      </w:r>
      <w:r w:rsidR="0030190B" w:rsidRPr="0030190B">
        <w:rPr>
          <w:rFonts w:ascii="Open Sans" w:eastAsia="Aptos" w:hAnsi="Open Sans" w:cs="Open Sans"/>
          <w:sz w:val="22"/>
          <w:szCs w:val="22"/>
        </w:rPr>
        <w:t>Regulatory assessments of delivery should recognise these characteristics and the benefits regeneration can provide to existing residents and communities, alongside the number of additional homes delivered.</w:t>
      </w:r>
      <w:r w:rsidR="0030190B">
        <w:rPr>
          <w:rFonts w:ascii="Open Sans" w:eastAsia="Aptos" w:hAnsi="Open Sans" w:cs="Open Sans"/>
          <w:sz w:val="22"/>
          <w:szCs w:val="22"/>
        </w:rPr>
        <w:t xml:space="preserve"> </w:t>
      </w:r>
    </w:p>
    <w:p w14:paraId="08F299DA" w14:textId="5976A614" w:rsidR="00307FEB" w:rsidRDefault="00307FEB" w:rsidP="0030190B">
      <w:pPr>
        <w:pStyle w:val="paragraph"/>
        <w:spacing w:after="120"/>
        <w:textAlignment w:val="baseline"/>
        <w:rPr>
          <w:rFonts w:ascii="Open Sans" w:eastAsia="Aptos" w:hAnsi="Open Sans" w:cs="Open Sans"/>
          <w:sz w:val="22"/>
          <w:szCs w:val="22"/>
        </w:rPr>
      </w:pPr>
      <w:r w:rsidRPr="00307FEB">
        <w:rPr>
          <w:rFonts w:ascii="Open Sans" w:eastAsia="Aptos" w:hAnsi="Open Sans" w:cs="Open Sans"/>
          <w:sz w:val="22"/>
          <w:szCs w:val="22"/>
        </w:rPr>
        <w:t xml:space="preserve">Any assessment of development performance should distinguish between gross delivery and net additions to social housing. </w:t>
      </w:r>
      <w:r w:rsidR="00B40697" w:rsidRPr="00B40697">
        <w:rPr>
          <w:rFonts w:ascii="Open Sans" w:eastAsia="Aptos" w:hAnsi="Open Sans" w:cs="Open Sans"/>
          <w:sz w:val="22"/>
          <w:szCs w:val="22"/>
        </w:rPr>
        <w:t>Regeneration a</w:t>
      </w:r>
      <w:r w:rsidR="00781A5E">
        <w:rPr>
          <w:rFonts w:ascii="Open Sans" w:eastAsia="Aptos" w:hAnsi="Open Sans" w:cs="Open Sans"/>
          <w:sz w:val="22"/>
          <w:szCs w:val="22"/>
        </w:rPr>
        <w:t>long with</w:t>
      </w:r>
      <w:r w:rsidR="00B40697" w:rsidRPr="00B40697">
        <w:rPr>
          <w:rFonts w:ascii="Open Sans" w:eastAsia="Aptos" w:hAnsi="Open Sans" w:cs="Open Sans"/>
          <w:sz w:val="22"/>
          <w:szCs w:val="22"/>
        </w:rPr>
        <w:t xml:space="preserve"> statutory sales can mean that part of a provider’s development programme replaces existing social homes rather than adding to overall supply</w:t>
      </w:r>
      <w:r w:rsidRPr="00307FEB">
        <w:rPr>
          <w:rFonts w:ascii="Open Sans" w:eastAsia="Aptos" w:hAnsi="Open Sans" w:cs="Open Sans"/>
          <w:sz w:val="22"/>
          <w:szCs w:val="22"/>
        </w:rPr>
        <w:t xml:space="preserve">. A provider may therefore commit substantial development capacity while achieving limited net growth. RSH should take both measures, and the reasons for any difference between them, into account when assessing performance against development capacity or targets. </w:t>
      </w:r>
    </w:p>
    <w:p w14:paraId="4C9F1404" w14:textId="45848BC3" w:rsidR="00BA5F5A" w:rsidRPr="00BA5F5A" w:rsidRDefault="00BA5F5A" w:rsidP="0030190B">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Stress testing, flexes and mitigation plans</w:t>
      </w:r>
    </w:p>
    <w:p w14:paraId="667CC4F6" w14:textId="10E52E5D" w:rsidR="00CA28BC" w:rsidRPr="00E964A1" w:rsidRDefault="00CA28BC" w:rsidP="00CA28BC">
      <w:pPr>
        <w:pStyle w:val="paragraph"/>
        <w:spacing w:after="120"/>
        <w:textAlignment w:val="baseline"/>
      </w:pPr>
      <w:r w:rsidRPr="00CA28BC">
        <w:rPr>
          <w:rFonts w:ascii="Open Sans" w:eastAsia="Aptos" w:hAnsi="Open Sans" w:cs="Open Sans"/>
          <w:sz w:val="22"/>
          <w:szCs w:val="22"/>
        </w:rPr>
        <w:t xml:space="preserve">Stress testing is already an important part of good governance and financial planning. </w:t>
      </w:r>
      <w:r w:rsidR="00BF4959" w:rsidRPr="00BF4959">
        <w:rPr>
          <w:rFonts w:ascii="Open Sans" w:eastAsia="Aptos" w:hAnsi="Open Sans" w:cs="Open Sans"/>
          <w:sz w:val="22"/>
          <w:szCs w:val="22"/>
        </w:rPr>
        <w:t>More standardised stress testing could provide RSH and boards with a useful common baseline for assessing financial resilience, alongside provider-specific tests reflecting different business models, funding structures, development programmes and</w:t>
      </w:r>
      <w:r w:rsidR="006F25A9">
        <w:rPr>
          <w:rFonts w:ascii="Open Sans" w:eastAsia="Aptos" w:hAnsi="Open Sans" w:cs="Open Sans"/>
          <w:sz w:val="22"/>
          <w:szCs w:val="22"/>
        </w:rPr>
        <w:t xml:space="preserve"> </w:t>
      </w:r>
      <w:r w:rsidR="7A2DDF21" w:rsidRPr="22891B04">
        <w:rPr>
          <w:rFonts w:ascii="Open Sans" w:eastAsia="Aptos" w:hAnsi="Open Sans" w:cs="Open Sans"/>
          <w:sz w:val="22"/>
          <w:szCs w:val="22"/>
        </w:rPr>
        <w:t xml:space="preserve">the </w:t>
      </w:r>
      <w:r w:rsidR="006F25A9" w:rsidRPr="22891B04">
        <w:rPr>
          <w:rFonts w:ascii="Open Sans" w:eastAsia="Aptos" w:hAnsi="Open Sans" w:cs="Open Sans"/>
          <w:sz w:val="22"/>
          <w:szCs w:val="22"/>
        </w:rPr>
        <w:t>types</w:t>
      </w:r>
      <w:r w:rsidR="10EAD09E" w:rsidRPr="22891B04">
        <w:rPr>
          <w:rFonts w:ascii="Open Sans" w:eastAsia="Aptos" w:hAnsi="Open Sans" w:cs="Open Sans"/>
          <w:sz w:val="22"/>
          <w:szCs w:val="22"/>
        </w:rPr>
        <w:t xml:space="preserve"> </w:t>
      </w:r>
      <w:r w:rsidR="10EAD09E" w:rsidRPr="7566F8DD">
        <w:rPr>
          <w:rFonts w:ascii="Open Sans" w:eastAsia="Aptos" w:hAnsi="Open Sans" w:cs="Open Sans"/>
          <w:sz w:val="22"/>
          <w:szCs w:val="22"/>
        </w:rPr>
        <w:t>of</w:t>
      </w:r>
      <w:r w:rsidR="006F25A9">
        <w:rPr>
          <w:rFonts w:ascii="Open Sans" w:eastAsia="Aptos" w:hAnsi="Open Sans" w:cs="Open Sans"/>
          <w:sz w:val="22"/>
          <w:szCs w:val="22"/>
        </w:rPr>
        <w:t xml:space="preserve"> homes they manage.</w:t>
      </w:r>
      <w:r w:rsidR="00E979EE" w:rsidRPr="00E979EE">
        <w:rPr>
          <w:rFonts w:ascii="Open Sans" w:eastAsia="Aptos" w:hAnsi="Open Sans" w:cs="Open Sans"/>
          <w:sz w:val="22"/>
          <w:szCs w:val="22"/>
        </w:rPr>
        <w:t xml:space="preserve"> </w:t>
      </w:r>
      <w:r w:rsidR="00120D92" w:rsidRPr="00120D92">
        <w:rPr>
          <w:rFonts w:ascii="Open Sans" w:eastAsia="Aptos" w:hAnsi="Open Sans" w:cs="Open Sans"/>
          <w:sz w:val="22"/>
          <w:szCs w:val="22"/>
        </w:rPr>
        <w:t>Providers should also be able to explain where a common scenario is not material to their particular risk profile.</w:t>
      </w:r>
    </w:p>
    <w:p w14:paraId="77B4E898" w14:textId="77777777" w:rsidR="004E1E4F" w:rsidRDefault="00091683" w:rsidP="00CA28BC">
      <w:pPr>
        <w:pStyle w:val="paragraph"/>
        <w:spacing w:after="120"/>
        <w:textAlignment w:val="baseline"/>
        <w:rPr>
          <w:rFonts w:ascii="Open Sans" w:eastAsia="Aptos" w:hAnsi="Open Sans" w:cs="Open Sans"/>
          <w:sz w:val="22"/>
          <w:szCs w:val="22"/>
        </w:rPr>
      </w:pPr>
      <w:r w:rsidRPr="00091683">
        <w:rPr>
          <w:rFonts w:ascii="Open Sans" w:eastAsia="Aptos" w:hAnsi="Open Sans" w:cs="Open Sans"/>
          <w:sz w:val="22"/>
          <w:szCs w:val="22"/>
        </w:rPr>
        <w:t xml:space="preserve">We do not support a requirement to publish stress-test results or mitigation plans. </w:t>
      </w:r>
      <w:r w:rsidR="00956F89" w:rsidRPr="00956F89">
        <w:rPr>
          <w:rFonts w:ascii="Open Sans" w:eastAsia="Aptos" w:hAnsi="Open Sans" w:cs="Open Sans"/>
          <w:sz w:val="22"/>
          <w:szCs w:val="22"/>
        </w:rPr>
        <w:t>RSH should be able to assure itself that the scenarios tested are credible and sufficiently robust, that boards understand the implications and that appropriate mitigation options have been considered</w:t>
      </w:r>
      <w:r w:rsidR="00D27F3C" w:rsidRPr="00D27F3C">
        <w:rPr>
          <w:rFonts w:ascii="Open Sans" w:eastAsia="Aptos" w:hAnsi="Open Sans" w:cs="Open Sans"/>
          <w:sz w:val="22"/>
          <w:szCs w:val="22"/>
        </w:rPr>
        <w:t>.</w:t>
      </w:r>
      <w:r w:rsidR="004E1E4F" w:rsidRPr="004E1E4F">
        <w:t xml:space="preserve"> </w:t>
      </w:r>
      <w:r w:rsidR="004E1E4F" w:rsidRPr="004E1E4F">
        <w:rPr>
          <w:rFonts w:ascii="Open Sans" w:eastAsia="Aptos" w:hAnsi="Open Sans" w:cs="Open Sans"/>
          <w:sz w:val="22"/>
          <w:szCs w:val="22"/>
        </w:rPr>
        <w:t xml:space="preserve">The level of risk a provider chooses to accept, and the decisions it takes in response to the stress testing, should remain matters for the board, provided the organisation continues to meet the regulatory standards and its responsibilities to residents. </w:t>
      </w:r>
    </w:p>
    <w:p w14:paraId="322DFD16" w14:textId="2179C6A6" w:rsidR="00091683" w:rsidRPr="004E1E4F" w:rsidRDefault="004E1E4F" w:rsidP="00CA28BC">
      <w:pPr>
        <w:pStyle w:val="paragraph"/>
        <w:spacing w:after="120"/>
        <w:textAlignment w:val="baseline"/>
        <w:rPr>
          <w:rFonts w:ascii="Open Sans" w:eastAsia="Aptos" w:hAnsi="Open Sans" w:cs="Open Sans"/>
          <w:sz w:val="22"/>
          <w:szCs w:val="22"/>
        </w:rPr>
      </w:pPr>
      <w:r w:rsidRPr="004E1E4F">
        <w:rPr>
          <w:rFonts w:ascii="Open Sans" w:eastAsia="Aptos" w:hAnsi="Open Sans" w:cs="Open Sans"/>
          <w:sz w:val="22"/>
          <w:szCs w:val="22"/>
        </w:rPr>
        <w:t>Commercially sensitive financial information should remain confidential.</w:t>
      </w:r>
      <w:r>
        <w:rPr>
          <w:rFonts w:ascii="Open Sans" w:eastAsia="Aptos" w:hAnsi="Open Sans" w:cs="Open Sans"/>
          <w:sz w:val="22"/>
          <w:szCs w:val="22"/>
        </w:rPr>
        <w:t xml:space="preserve"> </w:t>
      </w:r>
      <w:r w:rsidR="00091683" w:rsidRPr="00091683">
        <w:rPr>
          <w:rFonts w:ascii="Open Sans" w:eastAsia="Aptos" w:hAnsi="Open Sans" w:cs="Open Sans"/>
          <w:sz w:val="22"/>
          <w:szCs w:val="22"/>
        </w:rPr>
        <w:t xml:space="preserve">Providers can continue to give proportionate, high-level assurance </w:t>
      </w:r>
      <w:r w:rsidR="006838F9">
        <w:rPr>
          <w:rFonts w:ascii="Open Sans" w:eastAsia="Aptos" w:hAnsi="Open Sans" w:cs="Open Sans"/>
          <w:sz w:val="22"/>
          <w:szCs w:val="22"/>
        </w:rPr>
        <w:t xml:space="preserve">to the public </w:t>
      </w:r>
      <w:r w:rsidR="00091683" w:rsidRPr="00091683">
        <w:rPr>
          <w:rFonts w:ascii="Open Sans" w:eastAsia="Aptos" w:hAnsi="Open Sans" w:cs="Open Sans"/>
          <w:sz w:val="22"/>
          <w:szCs w:val="22"/>
        </w:rPr>
        <w:t xml:space="preserve">through existing reporting that stress testing is undertaken and appropriately governed, without publishing information that could distort lender or investor behaviour, weaken negotiating positions or </w:t>
      </w:r>
      <w:r w:rsidR="007722BF">
        <w:rPr>
          <w:rFonts w:ascii="Open Sans" w:eastAsia="Aptos" w:hAnsi="Open Sans" w:cs="Open Sans"/>
          <w:sz w:val="22"/>
          <w:szCs w:val="22"/>
        </w:rPr>
        <w:t>c</w:t>
      </w:r>
      <w:r w:rsidR="007722BF" w:rsidRPr="007722BF">
        <w:rPr>
          <w:rFonts w:ascii="Open Sans" w:eastAsia="Aptos" w:hAnsi="Open Sans" w:cs="Open Sans"/>
          <w:sz w:val="22"/>
          <w:szCs w:val="22"/>
        </w:rPr>
        <w:t>reate unnecessary concern among residents and other stakeholders where scenarios are presented without sufficient context.</w:t>
      </w:r>
    </w:p>
    <w:p w14:paraId="1D9749B5" w14:textId="7EF78865" w:rsidR="00BA5F5A" w:rsidRPr="00BA5F5A" w:rsidRDefault="00BA5F5A" w:rsidP="00223156">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 xml:space="preserve">Disposals and </w:t>
      </w:r>
      <w:r w:rsidR="004F0180">
        <w:rPr>
          <w:rFonts w:ascii="Open Sans" w:eastAsia="Aptos" w:hAnsi="Open Sans" w:cs="Open Sans"/>
          <w:b/>
          <w:bCs/>
          <w:sz w:val="22"/>
          <w:szCs w:val="22"/>
        </w:rPr>
        <w:t>effective use of homes</w:t>
      </w:r>
    </w:p>
    <w:p w14:paraId="210C09BF" w14:textId="28BE51B8" w:rsidR="000941BC" w:rsidRPr="000941BC" w:rsidRDefault="000941BC" w:rsidP="000941BC">
      <w:pPr>
        <w:pStyle w:val="paragraph"/>
        <w:spacing w:after="120"/>
        <w:textAlignment w:val="baseline"/>
        <w:rPr>
          <w:rFonts w:ascii="Open Sans" w:eastAsia="Aptos" w:hAnsi="Open Sans" w:cs="Open Sans"/>
          <w:sz w:val="22"/>
          <w:szCs w:val="22"/>
        </w:rPr>
      </w:pPr>
      <w:r w:rsidRPr="000941BC">
        <w:rPr>
          <w:rFonts w:ascii="Open Sans" w:eastAsia="Aptos" w:hAnsi="Open Sans" w:cs="Open Sans"/>
          <w:sz w:val="22"/>
          <w:szCs w:val="22"/>
        </w:rPr>
        <w:t xml:space="preserve">Disposals are an established part of responsible asset management and are generally undertaken for clear strategic reasons. A home may no longer be suitable for long-term social housing because of its condition, </w:t>
      </w:r>
      <w:r w:rsidR="000E36F9">
        <w:rPr>
          <w:rFonts w:ascii="Open Sans" w:eastAsia="Aptos" w:hAnsi="Open Sans" w:cs="Open Sans"/>
          <w:sz w:val="22"/>
          <w:szCs w:val="22"/>
        </w:rPr>
        <w:t>strategic fit within</w:t>
      </w:r>
      <w:r w:rsidR="009B2DB6">
        <w:rPr>
          <w:rFonts w:ascii="Open Sans" w:eastAsia="Aptos" w:hAnsi="Open Sans" w:cs="Open Sans"/>
          <w:sz w:val="22"/>
          <w:szCs w:val="22"/>
        </w:rPr>
        <w:t xml:space="preserve"> the provider’s geographic footprint</w:t>
      </w:r>
      <w:r w:rsidRPr="000941BC">
        <w:rPr>
          <w:rFonts w:ascii="Open Sans" w:eastAsia="Aptos" w:hAnsi="Open Sans" w:cs="Open Sans"/>
          <w:sz w:val="22"/>
          <w:szCs w:val="22"/>
        </w:rPr>
        <w:t>, cost of investment, legal ownership arrangements or ability to meet modern standards. Disposal receipts can also support regeneration, improvement of existing homes, debt management and new supply.</w:t>
      </w:r>
    </w:p>
    <w:p w14:paraId="5CBAFE06" w14:textId="0AE60484" w:rsidR="006F166A" w:rsidRDefault="006F166A" w:rsidP="000941BC">
      <w:pPr>
        <w:pStyle w:val="paragraph"/>
        <w:spacing w:after="120"/>
        <w:textAlignment w:val="baseline"/>
        <w:rPr>
          <w:rFonts w:ascii="Open Sans" w:eastAsia="Aptos" w:hAnsi="Open Sans" w:cs="Open Sans"/>
          <w:sz w:val="22"/>
          <w:szCs w:val="22"/>
        </w:rPr>
      </w:pPr>
      <w:r w:rsidRPr="006F166A">
        <w:rPr>
          <w:rFonts w:ascii="Open Sans" w:eastAsia="Aptos" w:hAnsi="Open Sans" w:cs="Open Sans"/>
          <w:sz w:val="22"/>
          <w:szCs w:val="22"/>
        </w:rPr>
        <w:t xml:space="preserve">The regulatory focus should be on the quality of the provider’s asset strategy </w:t>
      </w:r>
      <w:r w:rsidRPr="3C728F05">
        <w:rPr>
          <w:rFonts w:ascii="Open Sans" w:eastAsia="Aptos" w:hAnsi="Open Sans" w:cs="Open Sans"/>
          <w:sz w:val="22"/>
          <w:szCs w:val="22"/>
        </w:rPr>
        <w:t>and</w:t>
      </w:r>
      <w:r w:rsidRPr="006F166A">
        <w:rPr>
          <w:rFonts w:ascii="Open Sans" w:eastAsia="Aptos" w:hAnsi="Open Sans" w:cs="Open Sans"/>
          <w:sz w:val="22"/>
          <w:szCs w:val="22"/>
        </w:rPr>
        <w:t xml:space="preserve"> governance: why the decision has been taken, how resident and local housing needs have been considered and how the proceeds or alternative use support long-term outcomes.</w:t>
      </w:r>
      <w:r w:rsidR="007068F5" w:rsidRPr="007068F5">
        <w:t xml:space="preserve"> </w:t>
      </w:r>
      <w:r w:rsidR="007068F5" w:rsidRPr="007068F5">
        <w:rPr>
          <w:rFonts w:ascii="Open Sans" w:eastAsia="Aptos" w:hAnsi="Open Sans" w:cs="Open Sans"/>
          <w:sz w:val="22"/>
          <w:szCs w:val="22"/>
        </w:rPr>
        <w:t>Any new reporting requirements should preserve board responsibility for routine disposal decisions, without making those decisions subject to prior RSH approval.</w:t>
      </w:r>
    </w:p>
    <w:p w14:paraId="2871BF94" w14:textId="0D04A441" w:rsidR="000941BC" w:rsidRDefault="003214AF" w:rsidP="7D5851C9">
      <w:pPr>
        <w:pStyle w:val="paragraph"/>
        <w:rPr>
          <w:rFonts w:ascii="Open Sans" w:eastAsia="Aptos" w:hAnsi="Open Sans" w:cs="Open Sans"/>
          <w:sz w:val="22"/>
          <w:szCs w:val="22"/>
        </w:rPr>
      </w:pPr>
      <w:r w:rsidRPr="003214AF">
        <w:rPr>
          <w:rFonts w:ascii="Open Sans" w:eastAsia="Aptos" w:hAnsi="Open Sans" w:cs="Open Sans"/>
          <w:sz w:val="22"/>
          <w:szCs w:val="22"/>
        </w:rPr>
        <w:t xml:space="preserve">There may also be scope for greater flexibility in the use or re-designation of homes. Suitable </w:t>
      </w:r>
      <w:r w:rsidR="733F9CCD" w:rsidRPr="1E2BE1B4">
        <w:rPr>
          <w:rFonts w:ascii="Open Sans" w:eastAsia="Aptos" w:hAnsi="Open Sans" w:cs="Open Sans"/>
          <w:sz w:val="22"/>
          <w:szCs w:val="22"/>
        </w:rPr>
        <w:t xml:space="preserve">empty </w:t>
      </w:r>
      <w:r w:rsidRPr="1E2BE1B4">
        <w:rPr>
          <w:rFonts w:ascii="Open Sans" w:eastAsia="Aptos" w:hAnsi="Open Sans" w:cs="Open Sans"/>
          <w:sz w:val="22"/>
          <w:szCs w:val="22"/>
        </w:rPr>
        <w:t>homes</w:t>
      </w:r>
      <w:r w:rsidRPr="003214AF">
        <w:rPr>
          <w:rFonts w:ascii="Open Sans" w:eastAsia="Aptos" w:hAnsi="Open Sans" w:cs="Open Sans"/>
          <w:sz w:val="22"/>
          <w:szCs w:val="22"/>
        </w:rPr>
        <w:t xml:space="preserve"> that no longer fit a provider’s long-term social housing strategy could, in appropriate circumstances, help meet another local housing need, including temporary accommodation.</w:t>
      </w:r>
    </w:p>
    <w:p w14:paraId="638D6CC2" w14:textId="5D66361F" w:rsidR="000941BC" w:rsidRPr="000941BC" w:rsidRDefault="00F35C8A" w:rsidP="000941BC">
      <w:pPr>
        <w:pStyle w:val="paragraph"/>
        <w:spacing w:after="120"/>
        <w:textAlignment w:val="baseline"/>
        <w:rPr>
          <w:rFonts w:ascii="Open Sans" w:eastAsia="Aptos" w:hAnsi="Open Sans" w:cs="Open Sans"/>
          <w:sz w:val="22"/>
          <w:szCs w:val="22"/>
        </w:rPr>
      </w:pPr>
      <w:r w:rsidRPr="00F35C8A">
        <w:rPr>
          <w:rFonts w:ascii="Open Sans" w:eastAsia="Aptos" w:hAnsi="Open Sans" w:cs="Open Sans"/>
          <w:sz w:val="22"/>
          <w:szCs w:val="22"/>
        </w:rPr>
        <w:t>The framework also needs to recognise different legal and funding histories. Some social homes have never received grant</w:t>
      </w:r>
      <w:r w:rsidR="00AE263E">
        <w:rPr>
          <w:rFonts w:ascii="Open Sans" w:eastAsia="Aptos" w:hAnsi="Open Sans" w:cs="Open Sans"/>
          <w:sz w:val="22"/>
          <w:szCs w:val="22"/>
        </w:rPr>
        <w:t xml:space="preserve"> (</w:t>
      </w:r>
      <w:r w:rsidR="00AE263E" w:rsidRPr="000941BC">
        <w:rPr>
          <w:rFonts w:ascii="Open Sans" w:eastAsia="Aptos" w:hAnsi="Open Sans" w:cs="Open Sans"/>
          <w:sz w:val="22"/>
          <w:szCs w:val="22"/>
        </w:rPr>
        <w:t xml:space="preserve">so requirements around preserving historic grant value will not apply in the same way across all </w:t>
      </w:r>
      <w:r w:rsidR="009F4E29">
        <w:rPr>
          <w:rFonts w:ascii="Open Sans" w:eastAsia="Aptos" w:hAnsi="Open Sans" w:cs="Open Sans"/>
          <w:sz w:val="22"/>
          <w:szCs w:val="22"/>
        </w:rPr>
        <w:t>homes</w:t>
      </w:r>
      <w:r w:rsidR="006E29B4">
        <w:rPr>
          <w:rFonts w:ascii="Open Sans" w:eastAsia="Aptos" w:hAnsi="Open Sans" w:cs="Open Sans"/>
          <w:sz w:val="22"/>
          <w:szCs w:val="22"/>
        </w:rPr>
        <w:t>)</w:t>
      </w:r>
      <w:r w:rsidRPr="00F35C8A">
        <w:rPr>
          <w:rFonts w:ascii="Open Sans" w:eastAsia="Aptos" w:hAnsi="Open Sans" w:cs="Open Sans"/>
          <w:sz w:val="22"/>
          <w:szCs w:val="22"/>
        </w:rPr>
        <w:t>, while others are held through historic leases where the provider has limited control over whether the home can remain in social housing indefinitely. Those circumstances are relevant to any regulatory judgement about long-term retention or disposal.</w:t>
      </w:r>
    </w:p>
    <w:p w14:paraId="57178F11" w14:textId="7161611D" w:rsidR="00BA5F5A" w:rsidRPr="00BA5F5A" w:rsidRDefault="00BA5F5A" w:rsidP="000941BC">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Efficiency and value for money</w:t>
      </w:r>
    </w:p>
    <w:p w14:paraId="0B5D8903" w14:textId="0CEE1A23" w:rsidR="00797EEE" w:rsidRDefault="00004D99" w:rsidP="2E5547FA">
      <w:pPr>
        <w:pStyle w:val="paragraph"/>
        <w:rPr>
          <w:rFonts w:ascii="Open Sans" w:eastAsia="Aptos" w:hAnsi="Open Sans" w:cs="Open Sans"/>
          <w:sz w:val="22"/>
          <w:szCs w:val="22"/>
        </w:rPr>
      </w:pPr>
      <w:r w:rsidRPr="00004D99">
        <w:rPr>
          <w:rFonts w:ascii="Open Sans" w:eastAsia="Aptos" w:hAnsi="Open Sans" w:cs="Open Sans"/>
          <w:sz w:val="22"/>
          <w:szCs w:val="22"/>
        </w:rPr>
        <w:t xml:space="preserve">Efficiency and value for money are </w:t>
      </w:r>
      <w:r w:rsidR="00486E02">
        <w:rPr>
          <w:rFonts w:ascii="Open Sans" w:eastAsia="Aptos" w:hAnsi="Open Sans" w:cs="Open Sans"/>
          <w:sz w:val="22"/>
          <w:szCs w:val="22"/>
        </w:rPr>
        <w:t>suitable</w:t>
      </w:r>
      <w:r w:rsidRPr="00004D99">
        <w:rPr>
          <w:rFonts w:ascii="Open Sans" w:eastAsia="Aptos" w:hAnsi="Open Sans" w:cs="Open Sans"/>
          <w:sz w:val="22"/>
          <w:szCs w:val="22"/>
        </w:rPr>
        <w:t xml:space="preserve"> areas for regulatory scrutiny, but the current </w:t>
      </w:r>
      <w:r w:rsidR="00E56CDC">
        <w:rPr>
          <w:rFonts w:ascii="Open Sans" w:eastAsia="Aptos" w:hAnsi="Open Sans" w:cs="Open Sans"/>
          <w:sz w:val="22"/>
          <w:szCs w:val="22"/>
        </w:rPr>
        <w:t xml:space="preserve">assessment </w:t>
      </w:r>
      <w:r w:rsidR="00797EEE">
        <w:rPr>
          <w:rFonts w:ascii="Open Sans" w:eastAsia="Aptos" w:hAnsi="Open Sans" w:cs="Open Sans"/>
          <w:sz w:val="22"/>
          <w:szCs w:val="22"/>
        </w:rPr>
        <w:t>framework</w:t>
      </w:r>
      <w:r w:rsidRPr="00004D99">
        <w:rPr>
          <w:rFonts w:ascii="Open Sans" w:eastAsia="Aptos" w:hAnsi="Open Sans" w:cs="Open Sans"/>
          <w:sz w:val="22"/>
          <w:szCs w:val="22"/>
        </w:rPr>
        <w:t xml:space="preserve"> should be reviewed to ensure that individual measures provide meaningful regulatory insight. </w:t>
      </w:r>
      <w:r w:rsidR="00797EEE" w:rsidRPr="00797EEE">
        <w:rPr>
          <w:rFonts w:ascii="Open Sans" w:eastAsia="Aptos" w:hAnsi="Open Sans" w:cs="Open Sans"/>
          <w:sz w:val="22"/>
          <w:szCs w:val="22"/>
        </w:rPr>
        <w:t>Some measures, such as social housing cost per unit, can support useful comparison, while others can be difficult to interpret consistently across different business models, investment profiles and operating contexts</w:t>
      </w:r>
      <w:r w:rsidR="00797EEE">
        <w:rPr>
          <w:rFonts w:ascii="Open Sans" w:eastAsia="Aptos" w:hAnsi="Open Sans" w:cs="Open Sans"/>
          <w:sz w:val="22"/>
          <w:szCs w:val="22"/>
        </w:rPr>
        <w:t>.</w:t>
      </w:r>
    </w:p>
    <w:p w14:paraId="35BD8ED6" w14:textId="610FF0A4" w:rsidR="000941BC" w:rsidRPr="000941BC" w:rsidRDefault="00004D99" w:rsidP="2E5547FA">
      <w:pPr>
        <w:pStyle w:val="paragraph"/>
        <w:rPr>
          <w:rFonts w:ascii="Open Sans" w:eastAsia="Aptos" w:hAnsi="Open Sans" w:cs="Open Sans"/>
          <w:sz w:val="22"/>
          <w:szCs w:val="22"/>
        </w:rPr>
      </w:pPr>
      <w:r w:rsidRPr="00004D99">
        <w:rPr>
          <w:rFonts w:ascii="Open Sans" w:eastAsia="Aptos" w:hAnsi="Open Sans" w:cs="Open Sans"/>
          <w:sz w:val="22"/>
          <w:szCs w:val="22"/>
        </w:rPr>
        <w:t>Comparative measures</w:t>
      </w:r>
      <w:r w:rsidR="009068A4">
        <w:rPr>
          <w:rFonts w:ascii="Open Sans" w:eastAsia="Aptos" w:hAnsi="Open Sans" w:cs="Open Sans"/>
          <w:sz w:val="22"/>
          <w:szCs w:val="22"/>
        </w:rPr>
        <w:t xml:space="preserve"> also</w:t>
      </w:r>
      <w:r w:rsidRPr="00004D99">
        <w:rPr>
          <w:rFonts w:ascii="Open Sans" w:eastAsia="Aptos" w:hAnsi="Open Sans" w:cs="Open Sans"/>
          <w:sz w:val="22"/>
          <w:szCs w:val="22"/>
        </w:rPr>
        <w:t xml:space="preserve"> need to distinguish genuine differences in efficiency from structural differences in operating context</w:t>
      </w:r>
      <w:r w:rsidR="009068A4">
        <w:rPr>
          <w:rFonts w:ascii="Open Sans" w:eastAsia="Aptos" w:hAnsi="Open Sans" w:cs="Open Sans"/>
          <w:sz w:val="22"/>
          <w:szCs w:val="22"/>
        </w:rPr>
        <w:t>. Th</w:t>
      </w:r>
      <w:r w:rsidR="000345B4" w:rsidRPr="000345B4">
        <w:rPr>
          <w:rFonts w:ascii="Open Sans" w:eastAsia="Aptos" w:hAnsi="Open Sans" w:cs="Open Sans"/>
          <w:sz w:val="22"/>
          <w:szCs w:val="22"/>
        </w:rPr>
        <w:t xml:space="preserve">is </w:t>
      </w:r>
      <w:r w:rsidR="009068A4">
        <w:rPr>
          <w:rFonts w:ascii="Open Sans" w:eastAsia="Aptos" w:hAnsi="Open Sans" w:cs="Open Sans"/>
          <w:sz w:val="22"/>
          <w:szCs w:val="22"/>
        </w:rPr>
        <w:t xml:space="preserve">is </w:t>
      </w:r>
      <w:r w:rsidR="000345B4" w:rsidRPr="000345B4">
        <w:rPr>
          <w:rFonts w:ascii="Open Sans" w:eastAsia="Aptos" w:hAnsi="Open Sans" w:cs="Open Sans"/>
          <w:sz w:val="22"/>
          <w:szCs w:val="22"/>
        </w:rPr>
        <w:t xml:space="preserve">particularly </w:t>
      </w:r>
      <w:r w:rsidR="009068A4">
        <w:rPr>
          <w:rFonts w:ascii="Open Sans" w:eastAsia="Aptos" w:hAnsi="Open Sans" w:cs="Open Sans"/>
          <w:sz w:val="22"/>
          <w:szCs w:val="22"/>
        </w:rPr>
        <w:t>relevant in</w:t>
      </w:r>
      <w:r w:rsidR="000345B4" w:rsidRPr="000345B4">
        <w:rPr>
          <w:rFonts w:ascii="Open Sans" w:eastAsia="Aptos" w:hAnsi="Open Sans" w:cs="Open Sans"/>
          <w:sz w:val="22"/>
          <w:szCs w:val="22"/>
        </w:rPr>
        <w:t xml:space="preserve"> London where several cost pressures are more acute. Higher land and labour costs, dense and high-rise homes, older and complex estates, mixed-tenure management and significant building safety requirements can all affect comparative costs independently of management efficiency.</w:t>
      </w:r>
      <w:r w:rsidR="00E9415D" w:rsidRPr="00E9415D">
        <w:t xml:space="preserve"> </w:t>
      </w:r>
      <w:r w:rsidR="00E9415D" w:rsidRPr="00E9415D">
        <w:rPr>
          <w:rFonts w:ascii="Open Sans" w:eastAsia="Aptos" w:hAnsi="Open Sans" w:cs="Open Sans"/>
          <w:sz w:val="22"/>
          <w:szCs w:val="22"/>
        </w:rPr>
        <w:t>RSH should make better use of existing data to support comparison between providers with similar stock, geography and operating models, rather than relying on headline sector-wide comparisons or introducing additional reporting requirements.</w:t>
      </w:r>
      <w:r w:rsidR="00B3500A" w:rsidRPr="00B3500A">
        <w:t xml:space="preserve"> </w:t>
      </w:r>
      <w:r w:rsidR="00B3500A" w:rsidRPr="00B3500A">
        <w:rPr>
          <w:rFonts w:ascii="Open Sans" w:eastAsia="Aptos" w:hAnsi="Open Sans" w:cs="Open Sans"/>
          <w:sz w:val="22"/>
          <w:szCs w:val="22"/>
        </w:rPr>
        <w:t>Comparative metrics should therefore be supported by sufficient qualitative explanation to distinguish genuine inefficiency from differences in stock, investment strategy and operating context.</w:t>
      </w:r>
    </w:p>
    <w:p w14:paraId="5B7D888B" w14:textId="4D30E6B3" w:rsidR="003F1E4D" w:rsidRDefault="00432B5B" w:rsidP="00432B5B">
      <w:pPr>
        <w:pStyle w:val="paragraph"/>
        <w:spacing w:after="120"/>
        <w:textAlignment w:val="baseline"/>
        <w:rPr>
          <w:rFonts w:ascii="Open Sans" w:eastAsia="Aptos" w:hAnsi="Open Sans" w:cs="Open Sans"/>
          <w:sz w:val="22"/>
          <w:szCs w:val="22"/>
        </w:rPr>
      </w:pPr>
      <w:r w:rsidRPr="00432B5B">
        <w:rPr>
          <w:rFonts w:ascii="Open Sans" w:eastAsia="Aptos" w:hAnsi="Open Sans" w:cs="Open Sans"/>
          <w:sz w:val="22"/>
          <w:szCs w:val="22"/>
        </w:rPr>
        <w:t xml:space="preserve">Value for money should be assessed alongside the quality and sustainability of the outcomes being </w:t>
      </w:r>
      <w:r w:rsidRPr="6F25881B">
        <w:rPr>
          <w:rFonts w:ascii="Open Sans" w:eastAsia="Aptos" w:hAnsi="Open Sans" w:cs="Open Sans"/>
          <w:sz w:val="22"/>
          <w:szCs w:val="22"/>
        </w:rPr>
        <w:t>delivered.</w:t>
      </w:r>
      <w:r w:rsidRPr="00432B5B">
        <w:rPr>
          <w:rFonts w:ascii="Open Sans" w:eastAsia="Aptos" w:hAnsi="Open Sans" w:cs="Open Sans"/>
          <w:sz w:val="22"/>
          <w:szCs w:val="22"/>
        </w:rPr>
        <w:t xml:space="preserve"> </w:t>
      </w:r>
      <w:r w:rsidR="00232EF1" w:rsidRPr="00232EF1">
        <w:rPr>
          <w:rFonts w:ascii="Open Sans" w:eastAsia="Aptos" w:hAnsi="Open Sans" w:cs="Open Sans"/>
          <w:sz w:val="22"/>
          <w:szCs w:val="22"/>
        </w:rPr>
        <w:t>This includes the contribution of care, support and community services where these form part of a provider’s purpose and respond to resident needs.</w:t>
      </w:r>
      <w:r w:rsidR="00232EF1">
        <w:rPr>
          <w:rFonts w:ascii="Open Sans" w:eastAsia="Aptos" w:hAnsi="Open Sans" w:cs="Open Sans"/>
          <w:sz w:val="22"/>
          <w:szCs w:val="22"/>
        </w:rPr>
        <w:t xml:space="preserve"> </w:t>
      </w:r>
      <w:r w:rsidRPr="00432B5B">
        <w:rPr>
          <w:rFonts w:ascii="Open Sans" w:eastAsia="Aptos" w:hAnsi="Open Sans" w:cs="Open Sans"/>
          <w:sz w:val="22"/>
          <w:szCs w:val="22"/>
        </w:rPr>
        <w:t>RSH should test whether providers understand their cost base, can explain material variation, use resources effectively and are delivering safe homes and good services.</w:t>
      </w:r>
      <w:r>
        <w:rPr>
          <w:rFonts w:ascii="Open Sans" w:eastAsia="Aptos" w:hAnsi="Open Sans" w:cs="Open Sans"/>
          <w:sz w:val="22"/>
          <w:szCs w:val="22"/>
        </w:rPr>
        <w:t xml:space="preserve"> </w:t>
      </w:r>
      <w:r w:rsidR="003F1E4D" w:rsidRPr="003F1E4D">
        <w:rPr>
          <w:rFonts w:ascii="Open Sans" w:eastAsia="Aptos" w:hAnsi="Open Sans" w:cs="Open Sans"/>
          <w:sz w:val="22"/>
          <w:szCs w:val="22"/>
        </w:rPr>
        <w:t>Comparative metrics should reflect whole-life value and resident outcomes alongside headline cost.</w:t>
      </w:r>
    </w:p>
    <w:p w14:paraId="56E9438F" w14:textId="77777777" w:rsidR="00792DEA" w:rsidRDefault="00792DEA" w:rsidP="00432B5B">
      <w:pPr>
        <w:pStyle w:val="paragraph"/>
        <w:spacing w:after="120"/>
        <w:textAlignment w:val="baseline"/>
        <w:rPr>
          <w:rFonts w:ascii="Open Sans" w:eastAsia="Aptos" w:hAnsi="Open Sans" w:cs="Open Sans"/>
          <w:sz w:val="22"/>
          <w:szCs w:val="22"/>
        </w:rPr>
      </w:pPr>
    </w:p>
    <w:p w14:paraId="13DB0785" w14:textId="272D44BC" w:rsidR="00BA5F5A" w:rsidRPr="00432B5B" w:rsidRDefault="00BA5F5A" w:rsidP="00792DEA">
      <w:pPr>
        <w:pStyle w:val="paragraph"/>
        <w:spacing w:after="120"/>
        <w:jc w:val="center"/>
        <w:textAlignment w:val="baseline"/>
        <w:rPr>
          <w:rFonts w:ascii="Open Sans" w:eastAsia="Aptos" w:hAnsi="Open Sans" w:cs="Open Sans"/>
          <w:sz w:val="22"/>
          <w:szCs w:val="22"/>
        </w:rPr>
      </w:pPr>
      <w:r w:rsidRPr="00BA5F5A">
        <w:rPr>
          <w:rFonts w:ascii="Open Sans" w:eastAsia="Aptos" w:hAnsi="Open Sans" w:cs="Open Sans"/>
          <w:b/>
          <w:bCs/>
          <w:sz w:val="22"/>
          <w:szCs w:val="22"/>
        </w:rPr>
        <w:t>Question 3: Regulating for more and better homes</w:t>
      </w:r>
    </w:p>
    <w:p w14:paraId="54BC2779" w14:textId="77777777" w:rsidR="00BA5F5A" w:rsidRPr="00BA5F5A" w:rsidRDefault="00BA5F5A" w:rsidP="00BA5F5A">
      <w:pPr>
        <w:pStyle w:val="paragraph"/>
        <w:spacing w:after="120"/>
        <w:textAlignment w:val="baseline"/>
        <w:rPr>
          <w:rFonts w:ascii="Open Sans" w:eastAsia="Aptos" w:hAnsi="Open Sans" w:cs="Open Sans"/>
          <w:b/>
          <w:bCs/>
          <w:sz w:val="22"/>
          <w:szCs w:val="22"/>
        </w:rPr>
      </w:pPr>
      <w:r w:rsidRPr="00BA5F5A">
        <w:rPr>
          <w:rFonts w:ascii="Open Sans" w:eastAsia="Aptos" w:hAnsi="Open Sans" w:cs="Open Sans"/>
          <w:b/>
          <w:bCs/>
          <w:sz w:val="22"/>
          <w:szCs w:val="22"/>
        </w:rPr>
        <w:t>Please give your views on our intention to become increasingly targeted in our regulatory approach.</w:t>
      </w:r>
    </w:p>
    <w:p w14:paraId="3D9D0D7F" w14:textId="67C28C20" w:rsidR="003F6C42" w:rsidRDefault="001353AB" w:rsidP="003F6C42">
      <w:pPr>
        <w:pStyle w:val="paragraph"/>
        <w:spacing w:after="120"/>
        <w:textAlignment w:val="baseline"/>
        <w:rPr>
          <w:rFonts w:ascii="Open Sans" w:eastAsia="Aptos" w:hAnsi="Open Sans" w:cs="Open Sans"/>
          <w:sz w:val="22"/>
          <w:szCs w:val="22"/>
        </w:rPr>
      </w:pPr>
      <w:r w:rsidRPr="001353AB">
        <w:rPr>
          <w:rFonts w:ascii="Open Sans" w:eastAsia="Aptos" w:hAnsi="Open Sans" w:cs="Open Sans"/>
          <w:sz w:val="22"/>
          <w:szCs w:val="22"/>
        </w:rPr>
        <w:t xml:space="preserve">A more targeted, risk-based approach can strengthen regulatory </w:t>
      </w:r>
      <w:r w:rsidR="00564C98">
        <w:rPr>
          <w:rFonts w:ascii="Open Sans" w:eastAsia="Aptos" w:hAnsi="Open Sans" w:cs="Open Sans"/>
          <w:sz w:val="22"/>
          <w:szCs w:val="22"/>
        </w:rPr>
        <w:t>assurance. S</w:t>
      </w:r>
      <w:r w:rsidR="00564C98" w:rsidRPr="00564C98">
        <w:rPr>
          <w:rFonts w:ascii="Open Sans" w:eastAsia="Aptos" w:hAnsi="Open Sans" w:cs="Open Sans"/>
          <w:sz w:val="22"/>
          <w:szCs w:val="22"/>
        </w:rPr>
        <w:t>trong regulation provides confidence to residents, lenders and investors, and focusing attention where the risks or potential consequences are greatest can make that assurance more effective.</w:t>
      </w:r>
      <w:r w:rsidR="003F6C42">
        <w:rPr>
          <w:rFonts w:ascii="Open Sans" w:eastAsia="Aptos" w:hAnsi="Open Sans" w:cs="Open Sans"/>
          <w:sz w:val="22"/>
          <w:szCs w:val="22"/>
        </w:rPr>
        <w:t xml:space="preserve"> </w:t>
      </w:r>
      <w:r w:rsidR="00BD4DAD" w:rsidRPr="00BD4DAD">
        <w:rPr>
          <w:rFonts w:ascii="Open Sans" w:eastAsia="Aptos" w:hAnsi="Open Sans" w:cs="Open Sans"/>
          <w:sz w:val="22"/>
          <w:szCs w:val="22"/>
        </w:rPr>
        <w:t>RSH should publish the factors and evidence it will use to assess risk, the circumstances that would trigger additional scrutiny, the forms that scrutiny may take and how regulatory intensity would subsequently increase or reduce as a provider’s risk profile changes. This is important if a more targeted approach is to remain transparent and proportionate</w:t>
      </w:r>
      <w:r w:rsidR="003F6C42" w:rsidRPr="003F6C42">
        <w:rPr>
          <w:rFonts w:ascii="Open Sans" w:eastAsia="Aptos" w:hAnsi="Open Sans" w:cs="Open Sans"/>
          <w:sz w:val="22"/>
          <w:szCs w:val="22"/>
        </w:rPr>
        <w:t>.</w:t>
      </w:r>
    </w:p>
    <w:p w14:paraId="782B1F2D" w14:textId="7113949E" w:rsidR="00432B5B" w:rsidRDefault="003F6C42" w:rsidP="00432B5B">
      <w:pPr>
        <w:pStyle w:val="paragraph"/>
        <w:spacing w:before="0" w:beforeAutospacing="0" w:after="120" w:afterAutospacing="0"/>
        <w:textAlignment w:val="baseline"/>
        <w:rPr>
          <w:rFonts w:ascii="Open Sans" w:eastAsia="Aptos" w:hAnsi="Open Sans" w:cs="Open Sans"/>
          <w:sz w:val="22"/>
          <w:szCs w:val="22"/>
        </w:rPr>
      </w:pPr>
      <w:r>
        <w:rPr>
          <w:rFonts w:ascii="Open Sans" w:eastAsia="Aptos" w:hAnsi="Open Sans" w:cs="Open Sans"/>
          <w:sz w:val="22"/>
          <w:szCs w:val="22"/>
        </w:rPr>
        <w:t>Additionally, t</w:t>
      </w:r>
      <w:r w:rsidR="00432B5B" w:rsidRPr="00432B5B">
        <w:rPr>
          <w:rFonts w:ascii="Open Sans" w:eastAsia="Aptos" w:hAnsi="Open Sans" w:cs="Open Sans"/>
          <w:sz w:val="22"/>
          <w:szCs w:val="22"/>
        </w:rPr>
        <w:t>he framework should make effective use of information providers already supply and align new requirements with existing regulatory assurance wherever possible.</w:t>
      </w:r>
      <w:r w:rsidR="002D5C87" w:rsidRPr="002D5C87">
        <w:t xml:space="preserve"> </w:t>
      </w:r>
      <w:r w:rsidR="002D5C87" w:rsidRPr="002D5C87">
        <w:rPr>
          <w:rFonts w:ascii="Open Sans" w:eastAsia="Aptos" w:hAnsi="Open Sans" w:cs="Open Sans"/>
          <w:sz w:val="22"/>
          <w:szCs w:val="22"/>
        </w:rPr>
        <w:t>It should also distinguish closer regulatory engagement from more intrusive intervention. For strategically important providers, more frequent routine engagement may provide a proportionate way for RSH to understand emerging risks and maintain effective communication before additional data requirements, inspections or formal intervention are considered.</w:t>
      </w:r>
    </w:p>
    <w:p w14:paraId="05B8627B" w14:textId="392FC1D0" w:rsidR="00CC3124" w:rsidRPr="00CC3124" w:rsidRDefault="00CC3124" w:rsidP="00432B5B">
      <w:pPr>
        <w:pStyle w:val="paragraph"/>
        <w:spacing w:before="0" w:beforeAutospacing="0" w:after="120" w:afterAutospacing="0"/>
        <w:textAlignment w:val="baseline"/>
        <w:rPr>
          <w:rFonts w:ascii="Open Sans" w:eastAsia="Aptos" w:hAnsi="Open Sans" w:cs="Open Sans"/>
          <w:b/>
          <w:bCs/>
          <w:sz w:val="22"/>
          <w:szCs w:val="22"/>
        </w:rPr>
      </w:pPr>
      <w:r w:rsidRPr="00CC3124">
        <w:rPr>
          <w:rFonts w:ascii="Open Sans" w:eastAsia="Aptos" w:hAnsi="Open Sans" w:cs="Open Sans"/>
          <w:b/>
          <w:bCs/>
          <w:sz w:val="22"/>
          <w:szCs w:val="22"/>
        </w:rPr>
        <w:t>Targeting risk and using data</w:t>
      </w:r>
    </w:p>
    <w:p w14:paraId="5BA7B94D" w14:textId="3DB70693" w:rsidR="0022030C" w:rsidRDefault="0022030C" w:rsidP="00544C77">
      <w:pPr>
        <w:pStyle w:val="paragraph"/>
        <w:spacing w:after="120"/>
        <w:textAlignment w:val="baseline"/>
        <w:rPr>
          <w:rFonts w:ascii="Open Sans" w:eastAsia="Aptos" w:hAnsi="Open Sans" w:cs="Open Sans"/>
          <w:sz w:val="22"/>
          <w:szCs w:val="22"/>
        </w:rPr>
      </w:pPr>
      <w:r w:rsidRPr="0022030C">
        <w:rPr>
          <w:rFonts w:ascii="Open Sans" w:eastAsia="Aptos" w:hAnsi="Open Sans" w:cs="Open Sans"/>
          <w:sz w:val="22"/>
          <w:szCs w:val="22"/>
        </w:rPr>
        <w:t>New data requirements should have a defined regulatory purpose and make use of information providers already collect</w:t>
      </w:r>
      <w:r w:rsidR="2E0C802F" w:rsidRPr="7485C92D">
        <w:rPr>
          <w:rFonts w:ascii="Open Sans" w:eastAsia="Aptos" w:hAnsi="Open Sans" w:cs="Open Sans"/>
          <w:sz w:val="22"/>
          <w:szCs w:val="22"/>
        </w:rPr>
        <w:t>,</w:t>
      </w:r>
      <w:r w:rsidRPr="0022030C">
        <w:rPr>
          <w:rFonts w:ascii="Open Sans" w:eastAsia="Aptos" w:hAnsi="Open Sans" w:cs="Open Sans"/>
          <w:sz w:val="22"/>
          <w:szCs w:val="22"/>
        </w:rPr>
        <w:t xml:space="preserve"> wherever that information can provide the assurance RSH needs. </w:t>
      </w:r>
      <w:r w:rsidR="00897274" w:rsidRPr="00897274">
        <w:rPr>
          <w:rFonts w:ascii="Open Sans" w:eastAsia="Aptos" w:hAnsi="Open Sans" w:cs="Open Sans"/>
          <w:sz w:val="22"/>
          <w:szCs w:val="22"/>
        </w:rPr>
        <w:t>RSH should draw on providers’ risk registers and relevant audit and assurance evidence, assessing their scope and reliability before requiring additional verification</w:t>
      </w:r>
      <w:r w:rsidR="00897274">
        <w:rPr>
          <w:rFonts w:ascii="Open Sans" w:eastAsia="Aptos" w:hAnsi="Open Sans" w:cs="Open Sans"/>
          <w:sz w:val="22"/>
          <w:szCs w:val="22"/>
        </w:rPr>
        <w:t xml:space="preserve">. </w:t>
      </w:r>
      <w:r w:rsidRPr="0022030C">
        <w:rPr>
          <w:rFonts w:ascii="Open Sans" w:eastAsia="Aptos" w:hAnsi="Open Sans" w:cs="Open Sans"/>
          <w:sz w:val="22"/>
          <w:szCs w:val="22"/>
        </w:rPr>
        <w:t>Priority should be given to data that helps identify emerging risks, strengthens regulatory judgement or improves outcomes for residents.</w:t>
      </w:r>
    </w:p>
    <w:p w14:paraId="74B3CEA8" w14:textId="260FE46D" w:rsidR="00544C77" w:rsidRDefault="00544C77" w:rsidP="00544C77">
      <w:pPr>
        <w:pStyle w:val="paragraph"/>
        <w:spacing w:after="120"/>
        <w:textAlignment w:val="baseline"/>
        <w:rPr>
          <w:rFonts w:ascii="Open Sans" w:eastAsia="Aptos" w:hAnsi="Open Sans" w:cs="Open Sans"/>
          <w:sz w:val="22"/>
          <w:szCs w:val="22"/>
        </w:rPr>
      </w:pPr>
      <w:r w:rsidRPr="00544C77">
        <w:rPr>
          <w:rFonts w:ascii="Open Sans" w:eastAsia="Aptos" w:hAnsi="Open Sans" w:cs="Open Sans"/>
          <w:sz w:val="22"/>
          <w:szCs w:val="22"/>
        </w:rPr>
        <w:t xml:space="preserve">RSH should develop future data requirements with providers, including clear definitions, validation requirements, frequency and implementation timescales. </w:t>
      </w:r>
      <w:r w:rsidR="00C56342" w:rsidRPr="00C56342">
        <w:rPr>
          <w:rFonts w:ascii="Open Sans" w:eastAsia="Aptos" w:hAnsi="Open Sans" w:cs="Open Sans"/>
          <w:sz w:val="22"/>
          <w:szCs w:val="22"/>
        </w:rPr>
        <w:t xml:space="preserve">RSH will also need the systems, skills and analytical capacity, including sufficient understanding of different provider models and operating contexts, </w:t>
      </w:r>
      <w:r w:rsidR="00132622">
        <w:rPr>
          <w:rFonts w:ascii="Open Sans" w:eastAsia="Aptos" w:hAnsi="Open Sans" w:cs="Open Sans"/>
          <w:sz w:val="22"/>
          <w:szCs w:val="22"/>
        </w:rPr>
        <w:t>to interpret</w:t>
      </w:r>
      <w:r w:rsidR="00C56342" w:rsidRPr="00C56342">
        <w:rPr>
          <w:rFonts w:ascii="Open Sans" w:eastAsia="Aptos" w:hAnsi="Open Sans" w:cs="Open Sans"/>
          <w:sz w:val="22"/>
          <w:szCs w:val="22"/>
        </w:rPr>
        <w:t xml:space="preserve"> more granular information </w:t>
      </w:r>
      <w:r w:rsidR="00132622">
        <w:rPr>
          <w:rFonts w:ascii="Open Sans" w:eastAsia="Aptos" w:hAnsi="Open Sans" w:cs="Open Sans"/>
          <w:sz w:val="22"/>
          <w:szCs w:val="22"/>
        </w:rPr>
        <w:t>and m</w:t>
      </w:r>
      <w:r w:rsidR="003E117E">
        <w:rPr>
          <w:rFonts w:ascii="Open Sans" w:eastAsia="Aptos" w:hAnsi="Open Sans" w:cs="Open Sans"/>
          <w:sz w:val="22"/>
          <w:szCs w:val="22"/>
        </w:rPr>
        <w:t>ake</w:t>
      </w:r>
      <w:r w:rsidR="00C56342" w:rsidRPr="00C56342">
        <w:rPr>
          <w:rFonts w:ascii="Open Sans" w:eastAsia="Aptos" w:hAnsi="Open Sans" w:cs="Open Sans"/>
          <w:sz w:val="22"/>
          <w:szCs w:val="22"/>
        </w:rPr>
        <w:t xml:space="preserve"> proportionate regulatory judgements.</w:t>
      </w:r>
      <w:r w:rsidR="00C56342">
        <w:rPr>
          <w:rFonts w:ascii="Open Sans" w:eastAsia="Aptos" w:hAnsi="Open Sans" w:cs="Open Sans"/>
          <w:sz w:val="22"/>
          <w:szCs w:val="22"/>
        </w:rPr>
        <w:t xml:space="preserve"> </w:t>
      </w:r>
      <w:r w:rsidR="00A93512" w:rsidRPr="00A93512">
        <w:rPr>
          <w:rFonts w:ascii="Open Sans" w:eastAsia="Aptos" w:hAnsi="Open Sans" w:cs="Open Sans"/>
          <w:sz w:val="22"/>
          <w:szCs w:val="22"/>
        </w:rPr>
        <w:t>The value of additional data will depend on how effectively it can be interpreted and used.</w:t>
      </w:r>
      <w:r w:rsidR="00A93512" w:rsidRPr="00A93512">
        <w:t xml:space="preserve"> </w:t>
      </w:r>
      <w:r w:rsidR="00A93512" w:rsidRPr="00A93512">
        <w:rPr>
          <w:rFonts w:ascii="Open Sans" w:eastAsia="Aptos" w:hAnsi="Open Sans" w:cs="Open Sans"/>
          <w:sz w:val="22"/>
          <w:szCs w:val="22"/>
        </w:rPr>
        <w:t>Where data is intended to identify higher-risk funding or operating models, the relevant risk characteristics and thresholds need to be clear. This should align with the approach to new investment models set out under Question 1.</w:t>
      </w:r>
    </w:p>
    <w:p w14:paraId="75B9DCF1" w14:textId="62487349" w:rsidR="00CC3124" w:rsidRPr="00CC3124" w:rsidRDefault="008565A3" w:rsidP="00544C77">
      <w:pPr>
        <w:pStyle w:val="paragraph"/>
        <w:spacing w:before="0" w:beforeAutospacing="0" w:after="120" w:afterAutospacing="0"/>
        <w:textAlignment w:val="baseline"/>
        <w:rPr>
          <w:rFonts w:ascii="Open Sans" w:eastAsia="Aptos" w:hAnsi="Open Sans" w:cs="Open Sans"/>
          <w:b/>
          <w:bCs/>
          <w:sz w:val="22"/>
          <w:szCs w:val="22"/>
        </w:rPr>
      </w:pPr>
      <w:r w:rsidRPr="008565A3">
        <w:rPr>
          <w:rFonts w:ascii="Open Sans" w:eastAsia="Aptos" w:hAnsi="Open Sans" w:cs="Open Sans"/>
          <w:b/>
          <w:bCs/>
          <w:sz w:val="22"/>
          <w:szCs w:val="22"/>
        </w:rPr>
        <w:t>Enhanced requirements and strategically important providers</w:t>
      </w:r>
    </w:p>
    <w:p w14:paraId="07B3EED0" w14:textId="20097EAC" w:rsidR="00D47278" w:rsidRDefault="00BB7079" w:rsidP="003234B4">
      <w:pPr>
        <w:pStyle w:val="paragraph"/>
        <w:spacing w:after="120"/>
        <w:textAlignment w:val="baseline"/>
        <w:rPr>
          <w:rFonts w:ascii="Open Sans" w:eastAsia="Aptos" w:hAnsi="Open Sans" w:cs="Open Sans"/>
          <w:sz w:val="22"/>
          <w:szCs w:val="22"/>
        </w:rPr>
      </w:pPr>
      <w:r w:rsidRPr="00BB7079">
        <w:rPr>
          <w:rFonts w:ascii="Open Sans" w:eastAsia="Aptos" w:hAnsi="Open Sans" w:cs="Open Sans"/>
          <w:sz w:val="22"/>
          <w:szCs w:val="22"/>
        </w:rPr>
        <w:t>A targeted framework needs to distinguish between the likelihood of serious problems arising and the potential impact if they do. Scale can increase the consequences of failure without, on its own, indicating that a provider is more likely to fail</w:t>
      </w:r>
      <w:r w:rsidR="003234B4" w:rsidRPr="003234B4">
        <w:rPr>
          <w:rFonts w:ascii="Open Sans" w:eastAsia="Aptos" w:hAnsi="Open Sans" w:cs="Open Sans"/>
          <w:sz w:val="22"/>
          <w:szCs w:val="22"/>
        </w:rPr>
        <w:t>.</w:t>
      </w:r>
      <w:r w:rsidR="003234B4">
        <w:rPr>
          <w:rFonts w:ascii="Open Sans" w:eastAsia="Aptos" w:hAnsi="Open Sans" w:cs="Open Sans"/>
          <w:sz w:val="22"/>
          <w:szCs w:val="22"/>
        </w:rPr>
        <w:t xml:space="preserve"> </w:t>
      </w:r>
      <w:r w:rsidR="003234B4" w:rsidRPr="003234B4">
        <w:rPr>
          <w:rFonts w:ascii="Open Sans" w:eastAsia="Aptos" w:hAnsi="Open Sans" w:cs="Open Sans"/>
          <w:sz w:val="22"/>
          <w:szCs w:val="22"/>
        </w:rPr>
        <w:t>Some providers may warrant closer attention because of characteristics such as rapid growth, weak capitalisation, significant reliance on third parties, complex financial structures, governance change or an untested operating model.</w:t>
      </w:r>
    </w:p>
    <w:p w14:paraId="2C4AE001" w14:textId="7F5B7C5E" w:rsidR="00CC3124" w:rsidRPr="00CC3124" w:rsidRDefault="003234B4" w:rsidP="00D47278">
      <w:pPr>
        <w:pStyle w:val="paragraph"/>
        <w:spacing w:after="120"/>
        <w:textAlignment w:val="baseline"/>
        <w:rPr>
          <w:rFonts w:ascii="Open Sans" w:eastAsia="Aptos" w:hAnsi="Open Sans" w:cs="Open Sans"/>
          <w:sz w:val="22"/>
          <w:szCs w:val="22"/>
        </w:rPr>
      </w:pPr>
      <w:r w:rsidRPr="003234B4">
        <w:rPr>
          <w:rFonts w:ascii="Open Sans" w:eastAsia="Aptos" w:hAnsi="Open Sans" w:cs="Open Sans"/>
          <w:sz w:val="22"/>
          <w:szCs w:val="22"/>
        </w:rPr>
        <w:t>Very large providers may have wider systemic importance because of their scale, resident impact, debt exposure, geographic concentration and role in local housing markets.</w:t>
      </w:r>
      <w:r w:rsidR="00D47278">
        <w:rPr>
          <w:rFonts w:ascii="Open Sans" w:eastAsia="Aptos" w:hAnsi="Open Sans" w:cs="Open Sans"/>
          <w:sz w:val="22"/>
          <w:szCs w:val="22"/>
        </w:rPr>
        <w:t xml:space="preserve"> </w:t>
      </w:r>
      <w:r w:rsidR="00D628DA">
        <w:rPr>
          <w:rFonts w:ascii="Open Sans" w:eastAsia="Aptos" w:hAnsi="Open Sans" w:cs="Open Sans"/>
          <w:sz w:val="22"/>
          <w:szCs w:val="22"/>
        </w:rPr>
        <w:t>T</w:t>
      </w:r>
      <w:r w:rsidR="00D628DA" w:rsidRPr="00D628DA">
        <w:rPr>
          <w:rFonts w:ascii="Open Sans" w:eastAsia="Aptos" w:hAnsi="Open Sans" w:cs="Open Sans"/>
          <w:sz w:val="22"/>
          <w:szCs w:val="22"/>
        </w:rPr>
        <w:t xml:space="preserve">argeted scrutiny may therefore be appropriate around specific areas of </w:t>
      </w:r>
      <w:r w:rsidR="00336DF3">
        <w:rPr>
          <w:rFonts w:ascii="Open Sans" w:eastAsia="Aptos" w:hAnsi="Open Sans" w:cs="Open Sans"/>
          <w:sz w:val="22"/>
          <w:szCs w:val="22"/>
        </w:rPr>
        <w:t xml:space="preserve">systemic consequence and </w:t>
      </w:r>
      <w:r w:rsidR="00D628DA" w:rsidRPr="00D628DA">
        <w:rPr>
          <w:rFonts w:ascii="Open Sans" w:eastAsia="Aptos" w:hAnsi="Open Sans" w:cs="Open Sans"/>
          <w:sz w:val="22"/>
          <w:szCs w:val="22"/>
        </w:rPr>
        <w:t xml:space="preserve">material risk, such as </w:t>
      </w:r>
      <w:r w:rsidR="00336DF3">
        <w:rPr>
          <w:rFonts w:ascii="Open Sans" w:eastAsia="Aptos" w:hAnsi="Open Sans" w:cs="Open Sans"/>
          <w:sz w:val="22"/>
          <w:szCs w:val="22"/>
        </w:rPr>
        <w:t>a</w:t>
      </w:r>
      <w:r w:rsidR="00D628DA" w:rsidRPr="00D628DA">
        <w:rPr>
          <w:rFonts w:ascii="Open Sans" w:eastAsia="Aptos" w:hAnsi="Open Sans" w:cs="Open Sans"/>
          <w:sz w:val="22"/>
          <w:szCs w:val="22"/>
        </w:rPr>
        <w:t xml:space="preserve"> fire remediation programme, without applying uniformly higher regulatory </w:t>
      </w:r>
      <w:r w:rsidR="00F27524">
        <w:rPr>
          <w:rFonts w:ascii="Open Sans" w:eastAsia="Aptos" w:hAnsi="Open Sans" w:cs="Open Sans"/>
          <w:sz w:val="22"/>
          <w:szCs w:val="22"/>
        </w:rPr>
        <w:t>scrutiny</w:t>
      </w:r>
      <w:r w:rsidR="00D628DA" w:rsidRPr="00D628DA">
        <w:rPr>
          <w:rFonts w:ascii="Open Sans" w:eastAsia="Aptos" w:hAnsi="Open Sans" w:cs="Open Sans"/>
          <w:sz w:val="22"/>
          <w:szCs w:val="22"/>
        </w:rPr>
        <w:t xml:space="preserve"> across the whole organisation.</w:t>
      </w:r>
      <w:r w:rsidR="00F27524">
        <w:rPr>
          <w:rFonts w:ascii="Open Sans" w:eastAsia="Aptos" w:hAnsi="Open Sans" w:cs="Open Sans"/>
          <w:sz w:val="22"/>
          <w:szCs w:val="22"/>
        </w:rPr>
        <w:t xml:space="preserve"> </w:t>
      </w:r>
      <w:r w:rsidR="00CC3124" w:rsidRPr="00CC3124">
        <w:rPr>
          <w:rFonts w:ascii="Open Sans" w:eastAsia="Aptos" w:hAnsi="Open Sans" w:cs="Open Sans"/>
          <w:sz w:val="22"/>
          <w:szCs w:val="22"/>
        </w:rPr>
        <w:t xml:space="preserve">If RSH introduces a category of strategically important providers, it should define the category clearly. The definition should not rely only on homes owned or managed. </w:t>
      </w:r>
      <w:r w:rsidR="00F27524">
        <w:rPr>
          <w:rFonts w:ascii="Open Sans" w:eastAsia="Aptos" w:hAnsi="Open Sans" w:cs="Open Sans"/>
          <w:sz w:val="22"/>
          <w:szCs w:val="22"/>
        </w:rPr>
        <w:t>The assessment could include:</w:t>
      </w:r>
    </w:p>
    <w:p w14:paraId="0B6D5743" w14:textId="5F7FA9DB" w:rsidR="00CC3124" w:rsidRPr="00F27524" w:rsidRDefault="00CC3124">
      <w:pPr>
        <w:pStyle w:val="paragraph"/>
        <w:numPr>
          <w:ilvl w:val="0"/>
          <w:numId w:val="2"/>
        </w:numPr>
        <w:spacing w:before="0" w:beforeAutospacing="0" w:after="120" w:afterAutospacing="0"/>
        <w:textAlignment w:val="baseline"/>
        <w:rPr>
          <w:rFonts w:ascii="Open Sans" w:eastAsia="Aptos" w:hAnsi="Open Sans" w:cs="Open Sans"/>
          <w:sz w:val="22"/>
          <w:szCs w:val="22"/>
        </w:rPr>
      </w:pPr>
      <w:r w:rsidRPr="00CC3124">
        <w:rPr>
          <w:rFonts w:ascii="Open Sans" w:eastAsia="Aptos" w:hAnsi="Open Sans" w:cs="Open Sans"/>
          <w:sz w:val="22"/>
          <w:szCs w:val="22"/>
        </w:rPr>
        <w:t xml:space="preserve">geographic concentration </w:t>
      </w:r>
      <w:r w:rsidR="00F27524">
        <w:rPr>
          <w:rFonts w:ascii="Open Sans" w:eastAsia="Aptos" w:hAnsi="Open Sans" w:cs="Open Sans"/>
          <w:sz w:val="22"/>
          <w:szCs w:val="22"/>
        </w:rPr>
        <w:t xml:space="preserve">and </w:t>
      </w:r>
      <w:r w:rsidRPr="00F27524">
        <w:rPr>
          <w:rFonts w:ascii="Open Sans" w:eastAsia="Aptos" w:hAnsi="Open Sans" w:cs="Open Sans"/>
          <w:sz w:val="22"/>
          <w:szCs w:val="22"/>
        </w:rPr>
        <w:t xml:space="preserve">resident impact </w:t>
      </w:r>
    </w:p>
    <w:p w14:paraId="7CB96F37" w14:textId="2437E904" w:rsidR="00CC3124" w:rsidRPr="00CC3124" w:rsidRDefault="00CC3124">
      <w:pPr>
        <w:pStyle w:val="paragraph"/>
        <w:numPr>
          <w:ilvl w:val="0"/>
          <w:numId w:val="2"/>
        </w:numPr>
        <w:spacing w:before="0" w:beforeAutospacing="0" w:after="120" w:afterAutospacing="0"/>
        <w:textAlignment w:val="baseline"/>
        <w:rPr>
          <w:rFonts w:ascii="Open Sans" w:eastAsia="Aptos" w:hAnsi="Open Sans" w:cs="Open Sans"/>
          <w:sz w:val="22"/>
          <w:szCs w:val="22"/>
        </w:rPr>
      </w:pPr>
      <w:r w:rsidRPr="00CC3124">
        <w:rPr>
          <w:rFonts w:ascii="Open Sans" w:eastAsia="Aptos" w:hAnsi="Open Sans" w:cs="Open Sans"/>
          <w:sz w:val="22"/>
          <w:szCs w:val="22"/>
        </w:rPr>
        <w:t xml:space="preserve">debt exposure </w:t>
      </w:r>
      <w:r w:rsidR="00F60EA8" w:rsidRPr="00F60EA8">
        <w:rPr>
          <w:rFonts w:ascii="Open Sans" w:eastAsia="Aptos" w:hAnsi="Open Sans" w:cs="Open Sans"/>
          <w:sz w:val="22"/>
          <w:szCs w:val="22"/>
        </w:rPr>
        <w:t>and significance to financial markets</w:t>
      </w:r>
    </w:p>
    <w:p w14:paraId="70EC94ED" w14:textId="77777777" w:rsidR="00CC3124" w:rsidRPr="00CC3124" w:rsidRDefault="00CC3124">
      <w:pPr>
        <w:pStyle w:val="paragraph"/>
        <w:numPr>
          <w:ilvl w:val="0"/>
          <w:numId w:val="2"/>
        </w:numPr>
        <w:spacing w:before="0" w:beforeAutospacing="0" w:after="120" w:afterAutospacing="0"/>
        <w:textAlignment w:val="baseline"/>
        <w:rPr>
          <w:rFonts w:ascii="Open Sans" w:eastAsia="Aptos" w:hAnsi="Open Sans" w:cs="Open Sans"/>
          <w:sz w:val="22"/>
          <w:szCs w:val="22"/>
        </w:rPr>
      </w:pPr>
      <w:r w:rsidRPr="00CC3124">
        <w:rPr>
          <w:rFonts w:ascii="Open Sans" w:eastAsia="Aptos" w:hAnsi="Open Sans" w:cs="Open Sans"/>
          <w:sz w:val="22"/>
          <w:szCs w:val="22"/>
        </w:rPr>
        <w:t xml:space="preserve">role in local housing markets </w:t>
      </w:r>
    </w:p>
    <w:p w14:paraId="16DC49BC" w14:textId="77777777" w:rsidR="00F60EA8" w:rsidRDefault="00F60EA8">
      <w:pPr>
        <w:pStyle w:val="paragraph"/>
        <w:numPr>
          <w:ilvl w:val="0"/>
          <w:numId w:val="2"/>
        </w:numPr>
        <w:spacing w:before="0" w:beforeAutospacing="0" w:after="120" w:afterAutospacing="0"/>
        <w:textAlignment w:val="baseline"/>
        <w:rPr>
          <w:rFonts w:ascii="Open Sans" w:eastAsia="Aptos" w:hAnsi="Open Sans" w:cs="Open Sans"/>
          <w:sz w:val="22"/>
          <w:szCs w:val="22"/>
        </w:rPr>
      </w:pPr>
      <w:r w:rsidRPr="00F60EA8">
        <w:rPr>
          <w:rFonts w:ascii="Open Sans" w:eastAsia="Aptos" w:hAnsi="Open Sans" w:cs="Open Sans"/>
          <w:sz w:val="22"/>
          <w:szCs w:val="22"/>
        </w:rPr>
        <w:t>organisational and service complexity</w:t>
      </w:r>
    </w:p>
    <w:p w14:paraId="5A7E6617" w14:textId="77777777" w:rsidR="0004288B" w:rsidRDefault="009F4E29">
      <w:pPr>
        <w:pStyle w:val="paragraph"/>
        <w:numPr>
          <w:ilvl w:val="0"/>
          <w:numId w:val="2"/>
        </w:numPr>
        <w:spacing w:before="0" w:beforeAutospacing="0" w:after="120" w:afterAutospacing="0"/>
        <w:textAlignment w:val="baseline"/>
        <w:rPr>
          <w:rFonts w:ascii="Open Sans" w:eastAsia="Aptos" w:hAnsi="Open Sans" w:cs="Open Sans"/>
          <w:sz w:val="22"/>
          <w:szCs w:val="22"/>
        </w:rPr>
      </w:pPr>
      <w:r>
        <w:rPr>
          <w:rFonts w:ascii="Open Sans" w:eastAsia="Aptos" w:hAnsi="Open Sans" w:cs="Open Sans"/>
          <w:sz w:val="22"/>
          <w:szCs w:val="22"/>
        </w:rPr>
        <w:t>the</w:t>
      </w:r>
      <w:r w:rsidR="00CC3124" w:rsidRPr="00CC3124">
        <w:rPr>
          <w:rFonts w:ascii="Open Sans" w:eastAsia="Aptos" w:hAnsi="Open Sans" w:cs="Open Sans"/>
          <w:sz w:val="22"/>
          <w:szCs w:val="22"/>
        </w:rPr>
        <w:t xml:space="preserve"> condition </w:t>
      </w:r>
      <w:r>
        <w:rPr>
          <w:rFonts w:ascii="Open Sans" w:eastAsia="Aptos" w:hAnsi="Open Sans" w:cs="Open Sans"/>
          <w:sz w:val="22"/>
          <w:szCs w:val="22"/>
        </w:rPr>
        <w:t xml:space="preserve">of homes </w:t>
      </w:r>
      <w:r w:rsidRPr="009F4E29">
        <w:rPr>
          <w:rFonts w:ascii="Open Sans" w:eastAsia="Aptos" w:hAnsi="Open Sans" w:cs="Open Sans"/>
          <w:sz w:val="22"/>
          <w:szCs w:val="22"/>
        </w:rPr>
        <w:t>and major investment commitments</w:t>
      </w:r>
    </w:p>
    <w:p w14:paraId="58298FEA" w14:textId="77777777" w:rsidR="0004288B" w:rsidRDefault="0004288B">
      <w:pPr>
        <w:pStyle w:val="paragraph"/>
        <w:numPr>
          <w:ilvl w:val="0"/>
          <w:numId w:val="2"/>
        </w:numPr>
        <w:spacing w:before="0" w:beforeAutospacing="0" w:after="120" w:afterAutospacing="0"/>
        <w:textAlignment w:val="baseline"/>
        <w:rPr>
          <w:rFonts w:ascii="Open Sans" w:eastAsia="Aptos" w:hAnsi="Open Sans" w:cs="Open Sans"/>
          <w:sz w:val="22"/>
          <w:szCs w:val="22"/>
        </w:rPr>
      </w:pPr>
      <w:r w:rsidRPr="0004288B">
        <w:rPr>
          <w:rFonts w:ascii="Open Sans" w:eastAsia="Aptos" w:hAnsi="Open Sans" w:cs="Open Sans"/>
          <w:sz w:val="22"/>
          <w:szCs w:val="22"/>
        </w:rPr>
        <w:t>the potential consequences for residents and the wider sector if serious problems arise</w:t>
      </w:r>
    </w:p>
    <w:p w14:paraId="02612BA6" w14:textId="77777777" w:rsidR="0004288B" w:rsidRDefault="0004288B" w:rsidP="00CC3124">
      <w:pPr>
        <w:pStyle w:val="paragraph"/>
        <w:spacing w:before="0" w:beforeAutospacing="0" w:after="120" w:afterAutospacing="0"/>
        <w:textAlignment w:val="baseline"/>
        <w:rPr>
          <w:rFonts w:ascii="Open Sans" w:eastAsia="Aptos" w:hAnsi="Open Sans" w:cs="Open Sans"/>
          <w:sz w:val="22"/>
          <w:szCs w:val="22"/>
        </w:rPr>
      </w:pPr>
      <w:r w:rsidRPr="0004288B">
        <w:rPr>
          <w:rFonts w:ascii="Open Sans" w:eastAsia="Aptos" w:hAnsi="Open Sans" w:cs="Open Sans"/>
          <w:sz w:val="22"/>
          <w:szCs w:val="22"/>
        </w:rPr>
        <w:t>RSH should also set out what designation as a strategically important provider means in practice, including any additional expectations around data, engagement, inspections and recovery planning.</w:t>
      </w:r>
    </w:p>
    <w:p w14:paraId="22C28529" w14:textId="1FCEF700" w:rsidR="00852B6D" w:rsidRPr="00852B6D" w:rsidRDefault="00852B6D" w:rsidP="00852B6D">
      <w:pPr>
        <w:pStyle w:val="paragraph"/>
        <w:spacing w:after="120"/>
        <w:textAlignment w:val="baseline"/>
        <w:rPr>
          <w:rFonts w:ascii="Open Sans" w:eastAsia="Aptos" w:hAnsi="Open Sans" w:cs="Open Sans"/>
          <w:b/>
          <w:bCs/>
          <w:sz w:val="22"/>
          <w:szCs w:val="22"/>
        </w:rPr>
      </w:pPr>
      <w:r w:rsidRPr="00852B6D">
        <w:rPr>
          <w:rFonts w:ascii="Open Sans" w:eastAsia="Aptos" w:hAnsi="Open Sans" w:cs="Open Sans"/>
          <w:b/>
          <w:bCs/>
          <w:sz w:val="22"/>
          <w:szCs w:val="22"/>
        </w:rPr>
        <w:t>Cumulative regulatory requirements and implementation</w:t>
      </w:r>
    </w:p>
    <w:p w14:paraId="218B0D78" w14:textId="23273485" w:rsidR="00B16B33" w:rsidRDefault="00884E84" w:rsidP="00884E84">
      <w:pPr>
        <w:pStyle w:val="paragraph"/>
        <w:spacing w:after="120"/>
        <w:textAlignment w:val="baseline"/>
        <w:rPr>
          <w:rFonts w:ascii="Open Sans" w:eastAsia="Aptos" w:hAnsi="Open Sans" w:cs="Open Sans"/>
          <w:sz w:val="22"/>
          <w:szCs w:val="22"/>
        </w:rPr>
      </w:pPr>
      <w:r w:rsidRPr="00884E84">
        <w:rPr>
          <w:rFonts w:ascii="Open Sans" w:eastAsia="Aptos" w:hAnsi="Open Sans" w:cs="Open Sans"/>
          <w:sz w:val="22"/>
          <w:szCs w:val="22"/>
        </w:rPr>
        <w:t xml:space="preserve">The regulatory framework provides important assurance for residents and the organisations that invest in social housing. </w:t>
      </w:r>
      <w:r w:rsidR="001B5B1A" w:rsidRPr="001B5B1A">
        <w:rPr>
          <w:rFonts w:ascii="Open Sans" w:eastAsia="Aptos" w:hAnsi="Open Sans" w:cs="Open Sans"/>
          <w:sz w:val="22"/>
          <w:szCs w:val="22"/>
        </w:rPr>
        <w:t xml:space="preserve">The next economic framework needs to fit coherently with the consumer, safety, quality and energy-efficiency requirements providers are already implementing. </w:t>
      </w:r>
      <w:r w:rsidR="00AA0360" w:rsidRPr="00AA0360">
        <w:rPr>
          <w:rFonts w:ascii="Open Sans" w:eastAsia="Aptos" w:hAnsi="Open Sans" w:cs="Open Sans"/>
          <w:sz w:val="22"/>
          <w:szCs w:val="22"/>
        </w:rPr>
        <w:t xml:space="preserve">As the economic regulator with sector-wide visibility, RSH </w:t>
      </w:r>
      <w:r w:rsidR="00AA0360">
        <w:rPr>
          <w:rFonts w:ascii="Open Sans" w:eastAsia="Aptos" w:hAnsi="Open Sans" w:cs="Open Sans"/>
          <w:sz w:val="22"/>
          <w:szCs w:val="22"/>
        </w:rPr>
        <w:t>is well placed to take</w:t>
      </w:r>
      <w:r w:rsidR="00AA0360" w:rsidRPr="00AA0360">
        <w:rPr>
          <w:rFonts w:ascii="Open Sans" w:eastAsia="Aptos" w:hAnsi="Open Sans" w:cs="Open Sans"/>
          <w:sz w:val="22"/>
          <w:szCs w:val="22"/>
        </w:rPr>
        <w:t xml:space="preserve"> primary responsibility for assessing the cumulative impact of regulatory requirements on </w:t>
      </w:r>
      <w:r w:rsidR="00AA0360">
        <w:rPr>
          <w:rFonts w:ascii="Open Sans" w:eastAsia="Aptos" w:hAnsi="Open Sans" w:cs="Open Sans"/>
          <w:sz w:val="22"/>
          <w:szCs w:val="22"/>
        </w:rPr>
        <w:t>RPs</w:t>
      </w:r>
      <w:r w:rsidR="00AA0360" w:rsidRPr="00AA0360">
        <w:rPr>
          <w:rFonts w:ascii="Open Sans" w:eastAsia="Aptos" w:hAnsi="Open Sans" w:cs="Open Sans"/>
          <w:sz w:val="22"/>
          <w:szCs w:val="22"/>
        </w:rPr>
        <w:t>, including the interaction with the Housing Ombudsman Service</w:t>
      </w:r>
      <w:r w:rsidR="00AA0360">
        <w:rPr>
          <w:rFonts w:ascii="Open Sans" w:eastAsia="Aptos" w:hAnsi="Open Sans" w:cs="Open Sans"/>
          <w:sz w:val="22"/>
          <w:szCs w:val="22"/>
        </w:rPr>
        <w:t xml:space="preserve"> (HOS)</w:t>
      </w:r>
      <w:r w:rsidR="00AA0360" w:rsidRPr="00AA0360">
        <w:rPr>
          <w:rFonts w:ascii="Open Sans" w:eastAsia="Aptos" w:hAnsi="Open Sans" w:cs="Open Sans"/>
          <w:sz w:val="22"/>
          <w:szCs w:val="22"/>
        </w:rPr>
        <w:t xml:space="preserve">, Building Safety Regulator </w:t>
      </w:r>
      <w:r w:rsidR="00AA0360">
        <w:rPr>
          <w:rFonts w:ascii="Open Sans" w:eastAsia="Aptos" w:hAnsi="Open Sans" w:cs="Open Sans"/>
          <w:sz w:val="22"/>
          <w:szCs w:val="22"/>
        </w:rPr>
        <w:t xml:space="preserve">(BSR) </w:t>
      </w:r>
      <w:r w:rsidR="00AA0360" w:rsidRPr="00AA0360">
        <w:rPr>
          <w:rFonts w:ascii="Open Sans" w:eastAsia="Aptos" w:hAnsi="Open Sans" w:cs="Open Sans"/>
          <w:sz w:val="22"/>
          <w:szCs w:val="22"/>
        </w:rPr>
        <w:t>and New Homes Ombudsman. It should identify where overlapping requirements are creating additional cost or complexity without</w:t>
      </w:r>
      <w:r w:rsidR="00A11C34">
        <w:rPr>
          <w:rFonts w:ascii="Open Sans" w:eastAsia="Aptos" w:hAnsi="Open Sans" w:cs="Open Sans"/>
          <w:sz w:val="22"/>
          <w:szCs w:val="22"/>
        </w:rPr>
        <w:t xml:space="preserve"> </w:t>
      </w:r>
      <w:r w:rsidR="008323E5">
        <w:rPr>
          <w:rFonts w:ascii="Open Sans" w:eastAsia="Aptos" w:hAnsi="Open Sans" w:cs="Open Sans"/>
          <w:sz w:val="22"/>
          <w:szCs w:val="22"/>
        </w:rPr>
        <w:t>materially improving regulatory assurance or outcomes for</w:t>
      </w:r>
      <w:r w:rsidR="00F2766C">
        <w:rPr>
          <w:rFonts w:ascii="Open Sans" w:eastAsia="Aptos" w:hAnsi="Open Sans" w:cs="Open Sans"/>
          <w:sz w:val="22"/>
          <w:szCs w:val="22"/>
        </w:rPr>
        <w:t xml:space="preserve"> residents</w:t>
      </w:r>
      <w:r w:rsidR="00AA0360" w:rsidRPr="00AA0360">
        <w:rPr>
          <w:rFonts w:ascii="Open Sans" w:eastAsia="Aptos" w:hAnsi="Open Sans" w:cs="Open Sans"/>
          <w:sz w:val="22"/>
          <w:szCs w:val="22"/>
        </w:rPr>
        <w:t>.</w:t>
      </w:r>
    </w:p>
    <w:p w14:paraId="47076A60" w14:textId="56C44136" w:rsidR="00F42E3C" w:rsidRDefault="001B5B1A" w:rsidP="005737BC">
      <w:pPr>
        <w:pStyle w:val="paragraph"/>
        <w:spacing w:after="120"/>
        <w:textAlignment w:val="baseline"/>
        <w:rPr>
          <w:rFonts w:ascii="Open Sans" w:eastAsia="Aptos" w:hAnsi="Open Sans" w:cs="Open Sans"/>
          <w:sz w:val="22"/>
          <w:szCs w:val="22"/>
        </w:rPr>
      </w:pPr>
      <w:r w:rsidRPr="001B5B1A">
        <w:rPr>
          <w:rFonts w:ascii="Open Sans" w:eastAsia="Aptos" w:hAnsi="Open Sans" w:cs="Open Sans"/>
          <w:sz w:val="22"/>
          <w:szCs w:val="22"/>
        </w:rPr>
        <w:t xml:space="preserve">There is scope to align definitions, reporting and assurance, reuse information already supplied </w:t>
      </w:r>
      <w:r w:rsidR="009821F1" w:rsidRPr="009821F1">
        <w:rPr>
          <w:rFonts w:ascii="Open Sans" w:eastAsia="Aptos" w:hAnsi="Open Sans" w:cs="Open Sans"/>
          <w:sz w:val="22"/>
          <w:szCs w:val="22"/>
        </w:rPr>
        <w:t>and assurance already available through established governance, audit, risk and financial planning processes where it meets the regulatory purpose,</w:t>
      </w:r>
      <w:r w:rsidRPr="001B5B1A">
        <w:rPr>
          <w:rFonts w:ascii="Open Sans" w:eastAsia="Aptos" w:hAnsi="Open Sans" w:cs="Open Sans"/>
          <w:sz w:val="22"/>
          <w:szCs w:val="22"/>
        </w:rPr>
        <w:t xml:space="preserve"> and sequence implementation so that providers can plan effectively.</w:t>
      </w:r>
      <w:r w:rsidR="00145A5A">
        <w:rPr>
          <w:rFonts w:ascii="Open Sans" w:eastAsia="Aptos" w:hAnsi="Open Sans" w:cs="Open Sans"/>
          <w:sz w:val="22"/>
          <w:szCs w:val="22"/>
        </w:rPr>
        <w:t xml:space="preserve"> </w:t>
      </w:r>
      <w:r w:rsidR="00B73544" w:rsidRPr="00B73544">
        <w:rPr>
          <w:rFonts w:ascii="Open Sans" w:eastAsia="Aptos" w:hAnsi="Open Sans" w:cs="Open Sans"/>
          <w:sz w:val="22"/>
          <w:szCs w:val="22"/>
        </w:rPr>
        <w:t>New requirements should be no more complex than necessary, with additional reporting introduced only where it provides clear regulatory value.</w:t>
      </w:r>
      <w:r w:rsidR="00B73544">
        <w:rPr>
          <w:rFonts w:ascii="Open Sans" w:eastAsia="Aptos" w:hAnsi="Open Sans" w:cs="Open Sans"/>
          <w:sz w:val="22"/>
          <w:szCs w:val="22"/>
        </w:rPr>
        <w:t xml:space="preserve"> </w:t>
      </w:r>
      <w:r w:rsidR="00884E84" w:rsidRPr="00884E84">
        <w:rPr>
          <w:rFonts w:ascii="Open Sans" w:eastAsia="Aptos" w:hAnsi="Open Sans" w:cs="Open Sans"/>
          <w:sz w:val="22"/>
          <w:szCs w:val="22"/>
        </w:rPr>
        <w:t xml:space="preserve">This includes the Social Housing Bill, consumer standards, building safety and remediation, </w:t>
      </w:r>
      <w:r w:rsidR="00FF3236">
        <w:rPr>
          <w:rFonts w:ascii="Open Sans" w:eastAsia="Aptos" w:hAnsi="Open Sans" w:cs="Open Sans"/>
          <w:sz w:val="22"/>
          <w:szCs w:val="22"/>
        </w:rPr>
        <w:t>Awaab’s Law</w:t>
      </w:r>
      <w:r w:rsidR="00884E84" w:rsidRPr="00884E84">
        <w:rPr>
          <w:rFonts w:ascii="Open Sans" w:eastAsia="Aptos" w:hAnsi="Open Sans" w:cs="Open Sans"/>
          <w:sz w:val="22"/>
          <w:szCs w:val="22"/>
        </w:rPr>
        <w:t xml:space="preserve">, the Decent Homes Standard, Minimum Energy Efficiency Standards (MEES) and </w:t>
      </w:r>
      <w:r w:rsidR="00C9059C">
        <w:rPr>
          <w:rFonts w:ascii="Open Sans" w:eastAsia="Aptos" w:hAnsi="Open Sans" w:cs="Open Sans"/>
          <w:sz w:val="22"/>
          <w:szCs w:val="22"/>
        </w:rPr>
        <w:t>other for</w:t>
      </w:r>
      <w:r w:rsidR="009A5041">
        <w:rPr>
          <w:rFonts w:ascii="Open Sans" w:eastAsia="Aptos" w:hAnsi="Open Sans" w:cs="Open Sans"/>
          <w:sz w:val="22"/>
          <w:szCs w:val="22"/>
        </w:rPr>
        <w:t xml:space="preserve">thcoming </w:t>
      </w:r>
      <w:r w:rsidR="0017276A">
        <w:rPr>
          <w:rFonts w:ascii="Open Sans" w:eastAsia="Aptos" w:hAnsi="Open Sans" w:cs="Open Sans"/>
          <w:sz w:val="22"/>
          <w:szCs w:val="22"/>
        </w:rPr>
        <w:t xml:space="preserve">reforms </w:t>
      </w:r>
      <w:r w:rsidR="00651A4B">
        <w:rPr>
          <w:rFonts w:ascii="Open Sans" w:eastAsia="Aptos" w:hAnsi="Open Sans" w:cs="Open Sans"/>
          <w:sz w:val="22"/>
          <w:szCs w:val="22"/>
        </w:rPr>
        <w:t>af</w:t>
      </w:r>
      <w:r w:rsidR="001A17BA">
        <w:rPr>
          <w:rFonts w:ascii="Open Sans" w:eastAsia="Aptos" w:hAnsi="Open Sans" w:cs="Open Sans"/>
          <w:sz w:val="22"/>
          <w:szCs w:val="22"/>
        </w:rPr>
        <w:t xml:space="preserve">fecting </w:t>
      </w:r>
      <w:r w:rsidR="00454300">
        <w:rPr>
          <w:rFonts w:ascii="Open Sans" w:eastAsia="Aptos" w:hAnsi="Open Sans" w:cs="Open Sans"/>
          <w:sz w:val="22"/>
          <w:szCs w:val="22"/>
        </w:rPr>
        <w:t>provider</w:t>
      </w:r>
      <w:r w:rsidR="00147148">
        <w:rPr>
          <w:rFonts w:ascii="Open Sans" w:eastAsia="Aptos" w:hAnsi="Open Sans" w:cs="Open Sans"/>
          <w:sz w:val="22"/>
          <w:szCs w:val="22"/>
        </w:rPr>
        <w:t>s’ costs</w:t>
      </w:r>
      <w:r w:rsidR="00E668D0">
        <w:rPr>
          <w:rFonts w:ascii="Open Sans" w:eastAsia="Aptos" w:hAnsi="Open Sans" w:cs="Open Sans"/>
          <w:sz w:val="22"/>
          <w:szCs w:val="22"/>
        </w:rPr>
        <w:t>, governa</w:t>
      </w:r>
      <w:r w:rsidR="00396A27">
        <w:rPr>
          <w:rFonts w:ascii="Open Sans" w:eastAsia="Aptos" w:hAnsi="Open Sans" w:cs="Open Sans"/>
          <w:sz w:val="22"/>
          <w:szCs w:val="22"/>
        </w:rPr>
        <w:t xml:space="preserve">nce and </w:t>
      </w:r>
      <w:r w:rsidR="0073339F">
        <w:rPr>
          <w:rFonts w:ascii="Open Sans" w:eastAsia="Aptos" w:hAnsi="Open Sans" w:cs="Open Sans"/>
          <w:sz w:val="22"/>
          <w:szCs w:val="22"/>
        </w:rPr>
        <w:t>oper</w:t>
      </w:r>
      <w:r w:rsidR="000B05DF">
        <w:rPr>
          <w:rFonts w:ascii="Open Sans" w:eastAsia="Aptos" w:hAnsi="Open Sans" w:cs="Open Sans"/>
          <w:sz w:val="22"/>
          <w:szCs w:val="22"/>
        </w:rPr>
        <w:t>ating models</w:t>
      </w:r>
      <w:r w:rsidR="0078177D">
        <w:rPr>
          <w:rFonts w:ascii="Open Sans" w:eastAsia="Aptos" w:hAnsi="Open Sans" w:cs="Open Sans"/>
          <w:sz w:val="22"/>
          <w:szCs w:val="22"/>
        </w:rPr>
        <w:t>.</w:t>
      </w:r>
      <w:r w:rsidR="007C6F21">
        <w:rPr>
          <w:rFonts w:ascii="Open Sans" w:eastAsia="Aptos" w:hAnsi="Open Sans" w:cs="Open Sans"/>
          <w:sz w:val="22"/>
          <w:szCs w:val="22"/>
        </w:rPr>
        <w:t xml:space="preserve"> </w:t>
      </w:r>
      <w:r w:rsidR="00885281" w:rsidRPr="00885281">
        <w:rPr>
          <w:rFonts w:ascii="Open Sans" w:eastAsia="Aptos" w:hAnsi="Open Sans" w:cs="Open Sans"/>
          <w:sz w:val="22"/>
          <w:szCs w:val="22"/>
        </w:rPr>
        <w:t xml:space="preserve">Some of these requirements </w:t>
      </w:r>
      <w:r w:rsidR="004F2BF0">
        <w:rPr>
          <w:rFonts w:ascii="Open Sans" w:eastAsia="Aptos" w:hAnsi="Open Sans" w:cs="Open Sans"/>
          <w:sz w:val="22"/>
          <w:szCs w:val="22"/>
        </w:rPr>
        <w:t>(</w:t>
      </w:r>
      <w:r w:rsidR="00EF4952">
        <w:rPr>
          <w:rFonts w:ascii="Open Sans" w:eastAsia="Aptos" w:hAnsi="Open Sans" w:cs="Open Sans"/>
          <w:sz w:val="22"/>
          <w:szCs w:val="22"/>
        </w:rPr>
        <w:t xml:space="preserve">e.g., </w:t>
      </w:r>
      <w:r w:rsidR="00730F3E">
        <w:rPr>
          <w:rFonts w:ascii="Open Sans" w:eastAsia="Aptos" w:hAnsi="Open Sans" w:cs="Open Sans"/>
          <w:sz w:val="22"/>
          <w:szCs w:val="22"/>
        </w:rPr>
        <w:t>lea</w:t>
      </w:r>
      <w:r w:rsidR="00C11A85">
        <w:rPr>
          <w:rFonts w:ascii="Open Sans" w:eastAsia="Aptos" w:hAnsi="Open Sans" w:cs="Open Sans"/>
          <w:sz w:val="22"/>
          <w:szCs w:val="22"/>
        </w:rPr>
        <w:t>sehol</w:t>
      </w:r>
      <w:r w:rsidR="00106E50">
        <w:rPr>
          <w:rFonts w:ascii="Open Sans" w:eastAsia="Aptos" w:hAnsi="Open Sans" w:cs="Open Sans"/>
          <w:sz w:val="22"/>
          <w:szCs w:val="22"/>
        </w:rPr>
        <w:t>d and</w:t>
      </w:r>
      <w:r w:rsidR="00C73FB5">
        <w:rPr>
          <w:rFonts w:ascii="Open Sans" w:eastAsia="Aptos" w:hAnsi="Open Sans" w:cs="Open Sans"/>
          <w:sz w:val="22"/>
          <w:szCs w:val="22"/>
        </w:rPr>
        <w:t xml:space="preserve"> comm</w:t>
      </w:r>
      <w:r w:rsidR="008A4ADC">
        <w:rPr>
          <w:rFonts w:ascii="Open Sans" w:eastAsia="Aptos" w:hAnsi="Open Sans" w:cs="Open Sans"/>
          <w:sz w:val="22"/>
          <w:szCs w:val="22"/>
        </w:rPr>
        <w:t>onhold r</w:t>
      </w:r>
      <w:r w:rsidR="001E607B">
        <w:rPr>
          <w:rFonts w:ascii="Open Sans" w:eastAsia="Aptos" w:hAnsi="Open Sans" w:cs="Open Sans"/>
          <w:sz w:val="22"/>
          <w:szCs w:val="22"/>
        </w:rPr>
        <w:t xml:space="preserve">eform) </w:t>
      </w:r>
      <w:r w:rsidR="00885281" w:rsidRPr="00885281">
        <w:rPr>
          <w:rFonts w:ascii="Open Sans" w:eastAsia="Aptos" w:hAnsi="Open Sans" w:cs="Open Sans"/>
          <w:sz w:val="22"/>
          <w:szCs w:val="22"/>
        </w:rPr>
        <w:t>are still developing and may materially change assumptions on which existing business plans and capacity assessments have been based.</w:t>
      </w:r>
    </w:p>
    <w:p w14:paraId="0A7E48FB" w14:textId="04BD155E" w:rsidR="00884E84" w:rsidRDefault="00743B9F" w:rsidP="005737BC">
      <w:pPr>
        <w:pStyle w:val="paragraph"/>
        <w:spacing w:after="120"/>
        <w:textAlignment w:val="baseline"/>
        <w:rPr>
          <w:rFonts w:ascii="Open Sans" w:eastAsia="Aptos" w:hAnsi="Open Sans" w:cs="Open Sans"/>
          <w:sz w:val="22"/>
          <w:szCs w:val="22"/>
        </w:rPr>
      </w:pPr>
      <w:r w:rsidRPr="00743B9F">
        <w:rPr>
          <w:rFonts w:ascii="Open Sans" w:eastAsia="Aptos" w:hAnsi="Open Sans" w:cs="Open Sans"/>
          <w:sz w:val="22"/>
          <w:szCs w:val="22"/>
        </w:rPr>
        <w:t>RSH should consider the combined effect of these requirements when assessing provider capacity and setting implementation timescales</w:t>
      </w:r>
      <w:r w:rsidR="00D839AE" w:rsidRPr="00D839AE">
        <w:rPr>
          <w:rFonts w:ascii="Open Sans" w:eastAsia="Aptos" w:hAnsi="Open Sans" w:cs="Open Sans"/>
          <w:sz w:val="22"/>
          <w:szCs w:val="22"/>
        </w:rPr>
        <w:t xml:space="preserve">, particularly </w:t>
      </w:r>
      <w:r>
        <w:rPr>
          <w:rFonts w:ascii="Open Sans" w:eastAsia="Aptos" w:hAnsi="Open Sans" w:cs="Open Sans"/>
          <w:sz w:val="22"/>
          <w:szCs w:val="22"/>
        </w:rPr>
        <w:t>as</w:t>
      </w:r>
      <w:r w:rsidR="00D839AE" w:rsidRPr="00D839AE">
        <w:rPr>
          <w:rFonts w:ascii="Open Sans" w:eastAsia="Aptos" w:hAnsi="Open Sans" w:cs="Open Sans"/>
          <w:sz w:val="22"/>
          <w:szCs w:val="22"/>
        </w:rPr>
        <w:t xml:space="preserve"> several requirements draw on the same finance, governance, data and operational teams</w:t>
      </w:r>
      <w:r w:rsidR="00322160">
        <w:rPr>
          <w:rFonts w:ascii="Open Sans" w:eastAsia="Aptos" w:hAnsi="Open Sans" w:cs="Open Sans"/>
          <w:sz w:val="22"/>
          <w:szCs w:val="22"/>
        </w:rPr>
        <w:t xml:space="preserve"> needed to improve existing homes, deliver services and support new supply</w:t>
      </w:r>
      <w:r w:rsidR="00D839AE" w:rsidRPr="00D839AE">
        <w:rPr>
          <w:rFonts w:ascii="Open Sans" w:eastAsia="Aptos" w:hAnsi="Open Sans" w:cs="Open Sans"/>
          <w:sz w:val="22"/>
          <w:szCs w:val="22"/>
        </w:rPr>
        <w:t>.</w:t>
      </w:r>
      <w:r w:rsidR="005737BC" w:rsidRPr="005737BC">
        <w:t xml:space="preserve"> </w:t>
      </w:r>
      <w:r w:rsidR="005737BC" w:rsidRPr="005737BC">
        <w:rPr>
          <w:rFonts w:ascii="Open Sans" w:eastAsia="Aptos" w:hAnsi="Open Sans" w:cs="Open Sans"/>
          <w:sz w:val="22"/>
          <w:szCs w:val="22"/>
        </w:rPr>
        <w:t xml:space="preserve">Significant additions to the regulatory framework, including enhanced requirements for strategically important providers, should be accompanied by an assessment of their impact. This should consider implementation costs, data and systems changes, demands on management and board capacity, </w:t>
      </w:r>
      <w:r w:rsidR="00CF0605">
        <w:rPr>
          <w:rFonts w:ascii="Open Sans" w:eastAsia="Aptos" w:hAnsi="Open Sans" w:cs="Open Sans"/>
          <w:sz w:val="22"/>
          <w:szCs w:val="22"/>
        </w:rPr>
        <w:t xml:space="preserve">the opportunity cost for other priorities </w:t>
      </w:r>
      <w:r w:rsidR="005737BC" w:rsidRPr="005737BC">
        <w:rPr>
          <w:rFonts w:ascii="Open Sans" w:eastAsia="Aptos" w:hAnsi="Open Sans" w:cs="Open Sans"/>
          <w:sz w:val="22"/>
          <w:szCs w:val="22"/>
        </w:rPr>
        <w:t>and any implications for regulatory fees, alongside the additional assurance the requirements are intended to provide.</w:t>
      </w:r>
      <w:r w:rsidR="005737BC">
        <w:rPr>
          <w:rFonts w:ascii="Open Sans" w:eastAsia="Aptos" w:hAnsi="Open Sans" w:cs="Open Sans"/>
          <w:sz w:val="22"/>
          <w:szCs w:val="22"/>
        </w:rPr>
        <w:t xml:space="preserve"> </w:t>
      </w:r>
      <w:r w:rsidR="00510889">
        <w:rPr>
          <w:rFonts w:ascii="Open Sans" w:eastAsia="Aptos" w:hAnsi="Open Sans" w:cs="Open Sans"/>
          <w:sz w:val="22"/>
          <w:szCs w:val="22"/>
        </w:rPr>
        <w:t>A</w:t>
      </w:r>
      <w:r w:rsidR="00884E84" w:rsidRPr="00884E84">
        <w:rPr>
          <w:rFonts w:ascii="Open Sans" w:eastAsia="Aptos" w:hAnsi="Open Sans" w:cs="Open Sans"/>
          <w:sz w:val="22"/>
          <w:szCs w:val="22"/>
        </w:rPr>
        <w:t>ny new requirements should have realistic lead-in times, especially where they depend on new data standards, more granular reporting or changes to board assurance.</w:t>
      </w:r>
    </w:p>
    <w:p w14:paraId="6FEED8E5" w14:textId="188D9448" w:rsidR="00CC3124" w:rsidRPr="00CC3124" w:rsidRDefault="00CC3124" w:rsidP="00884E84">
      <w:pPr>
        <w:pStyle w:val="paragraph"/>
        <w:spacing w:before="0" w:beforeAutospacing="0" w:after="120" w:afterAutospacing="0"/>
        <w:textAlignment w:val="baseline"/>
        <w:rPr>
          <w:rFonts w:ascii="Open Sans" w:eastAsia="Aptos" w:hAnsi="Open Sans" w:cs="Open Sans"/>
          <w:b/>
          <w:bCs/>
          <w:sz w:val="22"/>
          <w:szCs w:val="22"/>
        </w:rPr>
      </w:pPr>
      <w:r w:rsidRPr="00CC3124">
        <w:rPr>
          <w:rFonts w:ascii="Open Sans" w:eastAsia="Aptos" w:hAnsi="Open Sans" w:cs="Open Sans"/>
          <w:b/>
          <w:bCs/>
          <w:sz w:val="22"/>
          <w:szCs w:val="22"/>
        </w:rPr>
        <w:t>Localised failure and regulation below landlord level</w:t>
      </w:r>
    </w:p>
    <w:p w14:paraId="5FAF575A" w14:textId="348E1FF7" w:rsidR="007436AE" w:rsidRPr="007E14DE" w:rsidRDefault="000C348C" w:rsidP="007E14DE">
      <w:pPr>
        <w:pStyle w:val="paragraph"/>
        <w:spacing w:after="120"/>
        <w:textAlignment w:val="baseline"/>
        <w:rPr>
          <w:rFonts w:ascii="Open Sans" w:eastAsia="Aptos" w:hAnsi="Open Sans" w:cs="Open Sans"/>
          <w:sz w:val="22"/>
          <w:szCs w:val="22"/>
        </w:rPr>
      </w:pPr>
      <w:r w:rsidRPr="000C348C">
        <w:rPr>
          <w:rFonts w:ascii="Open Sans" w:eastAsia="Aptos" w:hAnsi="Open Sans" w:cs="Open Sans"/>
          <w:sz w:val="22"/>
          <w:szCs w:val="22"/>
        </w:rPr>
        <w:t>Evidence of serious or repeated local failures should inform RSH’s assessment of whether a provider is meeting the consumer standards. Aggregate performance can mask significant problems affecting residents on an estate, across a group of buildings or within a particular service.</w:t>
      </w:r>
      <w:r w:rsidR="009129F8">
        <w:rPr>
          <w:rFonts w:ascii="Open Sans" w:eastAsia="Aptos" w:hAnsi="Open Sans" w:cs="Open Sans"/>
          <w:sz w:val="22"/>
          <w:szCs w:val="22"/>
        </w:rPr>
        <w:t xml:space="preserve"> </w:t>
      </w:r>
      <w:r w:rsidR="007436AE" w:rsidRPr="007436AE">
        <w:rPr>
          <w:rFonts w:ascii="Open Sans" w:eastAsia="Aptos" w:hAnsi="Open Sans" w:cs="Open Sans"/>
          <w:sz w:val="22"/>
          <w:szCs w:val="22"/>
        </w:rPr>
        <w:t xml:space="preserve">RSH should continue to regulate against the standards, drawing on local evidence where it indicates wider weaknesses in governance, assurance, data or compliance. This </w:t>
      </w:r>
      <w:r w:rsidR="00D87F63">
        <w:rPr>
          <w:rFonts w:ascii="Open Sans" w:eastAsia="Aptos" w:hAnsi="Open Sans" w:cs="Open Sans"/>
          <w:sz w:val="22"/>
          <w:szCs w:val="22"/>
        </w:rPr>
        <w:t xml:space="preserve">would </w:t>
      </w:r>
      <w:r w:rsidR="007436AE" w:rsidRPr="007436AE">
        <w:rPr>
          <w:rFonts w:ascii="Open Sans" w:eastAsia="Aptos" w:hAnsi="Open Sans" w:cs="Open Sans"/>
          <w:sz w:val="22"/>
          <w:szCs w:val="22"/>
        </w:rPr>
        <w:t>provide a route for significant local issues to trigger regulatory scrutiny without creating a separate tier of operational regulation at estate or neighbourhood level.</w:t>
      </w:r>
    </w:p>
    <w:p w14:paraId="1C48DDD4" w14:textId="46879C6C" w:rsidR="005938F1" w:rsidRDefault="007E14DE" w:rsidP="007E14DE">
      <w:pPr>
        <w:pStyle w:val="paragraph"/>
        <w:spacing w:after="120"/>
        <w:textAlignment w:val="baseline"/>
        <w:rPr>
          <w:rFonts w:ascii="Open Sans" w:eastAsia="Aptos" w:hAnsi="Open Sans" w:cs="Open Sans"/>
          <w:sz w:val="22"/>
          <w:szCs w:val="22"/>
        </w:rPr>
      </w:pPr>
      <w:r w:rsidRPr="007E14DE">
        <w:rPr>
          <w:rFonts w:ascii="Open Sans" w:eastAsia="Aptos" w:hAnsi="Open Sans" w:cs="Open Sans"/>
          <w:sz w:val="22"/>
          <w:szCs w:val="22"/>
        </w:rPr>
        <w:t>Members do not support extending the HOS</w:t>
      </w:r>
      <w:r w:rsidR="00E20AF0">
        <w:rPr>
          <w:rFonts w:ascii="Open Sans" w:eastAsia="Aptos" w:hAnsi="Open Sans" w:cs="Open Sans"/>
          <w:sz w:val="22"/>
          <w:szCs w:val="22"/>
        </w:rPr>
        <w:t xml:space="preserve"> </w:t>
      </w:r>
      <w:r w:rsidRPr="007E14DE">
        <w:rPr>
          <w:rFonts w:ascii="Open Sans" w:eastAsia="Aptos" w:hAnsi="Open Sans" w:cs="Open Sans"/>
          <w:sz w:val="22"/>
          <w:szCs w:val="22"/>
        </w:rPr>
        <w:t xml:space="preserve">remit to fill this space. </w:t>
      </w:r>
      <w:r w:rsidR="009E0B5B" w:rsidRPr="009E0B5B">
        <w:rPr>
          <w:rFonts w:ascii="Open Sans" w:eastAsia="Aptos" w:hAnsi="Open Sans" w:cs="Open Sans"/>
          <w:sz w:val="22"/>
          <w:szCs w:val="22"/>
        </w:rPr>
        <w:t>HOS</w:t>
      </w:r>
      <w:r w:rsidR="009E0B5B">
        <w:rPr>
          <w:rFonts w:ascii="Open Sans" w:eastAsia="Aptos" w:hAnsi="Open Sans" w:cs="Open Sans"/>
          <w:sz w:val="22"/>
          <w:szCs w:val="22"/>
        </w:rPr>
        <w:t xml:space="preserve"> should</w:t>
      </w:r>
      <w:r w:rsidR="009E0B5B" w:rsidRPr="009E0B5B">
        <w:rPr>
          <w:rFonts w:ascii="Open Sans" w:eastAsia="Aptos" w:hAnsi="Open Sans" w:cs="Open Sans"/>
          <w:sz w:val="22"/>
          <w:szCs w:val="22"/>
        </w:rPr>
        <w:t xml:space="preserve"> retain its role in individual complaints and redress, with RSH considering whether patterns of complaints or other local evidence point to a regulatory failure.</w:t>
      </w:r>
      <w:r w:rsidR="005938F1">
        <w:rPr>
          <w:rFonts w:ascii="Open Sans" w:eastAsia="Aptos" w:hAnsi="Open Sans" w:cs="Open Sans"/>
          <w:sz w:val="22"/>
          <w:szCs w:val="22"/>
        </w:rPr>
        <w:t xml:space="preserve"> </w:t>
      </w:r>
    </w:p>
    <w:p w14:paraId="1056D5C9" w14:textId="36D51981" w:rsidR="008D3DE4" w:rsidRDefault="005A4C47" w:rsidP="007E14DE">
      <w:pPr>
        <w:pStyle w:val="paragraph"/>
        <w:spacing w:after="120"/>
        <w:textAlignment w:val="baseline"/>
        <w:rPr>
          <w:rFonts w:ascii="Open Sans" w:eastAsia="Aptos" w:hAnsi="Open Sans" w:cs="Open Sans"/>
          <w:sz w:val="22"/>
          <w:szCs w:val="22"/>
        </w:rPr>
      </w:pPr>
      <w:r w:rsidRPr="005A4C47">
        <w:rPr>
          <w:rFonts w:ascii="Open Sans" w:eastAsia="Aptos" w:hAnsi="Open Sans" w:cs="Open Sans"/>
          <w:sz w:val="22"/>
          <w:szCs w:val="22"/>
        </w:rPr>
        <w:t>The future framework should define what is meant by regulation “below landlord level”, including whether this refers to particular services, geographic areas, groups of homes or other parts of a provider’s operations, the threshold at which local evidence becomes a regulatory concern, and how this will interact with the consumer standards, inspections and information from residents and HOS</w:t>
      </w:r>
      <w:r w:rsidR="008D3DE4" w:rsidRPr="008D3DE4">
        <w:rPr>
          <w:rFonts w:ascii="Open Sans" w:eastAsia="Aptos" w:hAnsi="Open Sans" w:cs="Open Sans"/>
          <w:sz w:val="22"/>
          <w:szCs w:val="22"/>
        </w:rPr>
        <w:t>.</w:t>
      </w:r>
      <w:r w:rsidR="000C5AC7" w:rsidRPr="000C5AC7">
        <w:t xml:space="preserve"> </w:t>
      </w:r>
      <w:r w:rsidR="00030165" w:rsidRPr="00030165">
        <w:rPr>
          <w:rFonts w:ascii="Open Sans" w:eastAsia="Aptos" w:hAnsi="Open Sans" w:cs="Open Sans"/>
          <w:sz w:val="22"/>
          <w:szCs w:val="22"/>
        </w:rPr>
        <w:t>RSH and HOS should also explain how their respective findings and thresholds relate, including when recurring service failures or patterns in complaints indicate a potential breach of the consumer standards. This would help providers and residents understand the boundary between individual redress and regulatory intervention.</w:t>
      </w:r>
    </w:p>
    <w:p w14:paraId="753E78BB" w14:textId="0987C230" w:rsidR="007E14DE" w:rsidRPr="007E14DE" w:rsidRDefault="007E14DE" w:rsidP="007E14DE">
      <w:pPr>
        <w:pStyle w:val="paragraph"/>
        <w:spacing w:after="120"/>
        <w:textAlignment w:val="baseline"/>
        <w:rPr>
          <w:rFonts w:ascii="Open Sans" w:eastAsia="Aptos" w:hAnsi="Open Sans" w:cs="Open Sans"/>
          <w:sz w:val="22"/>
          <w:szCs w:val="22"/>
        </w:rPr>
      </w:pPr>
      <w:r w:rsidRPr="007E14DE">
        <w:rPr>
          <w:rFonts w:ascii="Open Sans" w:eastAsia="Aptos" w:hAnsi="Open Sans" w:cs="Open Sans"/>
          <w:sz w:val="22"/>
          <w:szCs w:val="22"/>
        </w:rPr>
        <w:t>The appropriate level of board visibility should remain proportionate to organisational size and the seriousness of the issue. Boards need enough information to understand material local problems and assurance that the organisation can identify and act on them.</w:t>
      </w:r>
      <w:r w:rsidR="007F0791" w:rsidRPr="007F0791">
        <w:t xml:space="preserve"> </w:t>
      </w:r>
      <w:r w:rsidR="007F0791" w:rsidRPr="007F0791">
        <w:rPr>
          <w:rFonts w:ascii="Open Sans" w:eastAsia="Aptos" w:hAnsi="Open Sans" w:cs="Open Sans"/>
          <w:sz w:val="22"/>
          <w:szCs w:val="22"/>
        </w:rPr>
        <w:t>Regulatory expectations should preserve the distinction between effective board oversight and operational management.</w:t>
      </w:r>
    </w:p>
    <w:p w14:paraId="5AF951B1" w14:textId="77777777" w:rsidR="006B4E93" w:rsidRDefault="006B4E93" w:rsidP="00CC3124">
      <w:pPr>
        <w:pStyle w:val="paragraph"/>
        <w:spacing w:before="0" w:beforeAutospacing="0" w:after="120" w:afterAutospacing="0"/>
        <w:textAlignment w:val="baseline"/>
        <w:rPr>
          <w:rFonts w:ascii="Open Sans" w:eastAsia="Aptos" w:hAnsi="Open Sans" w:cs="Open Sans"/>
          <w:b/>
          <w:bCs/>
          <w:sz w:val="22"/>
          <w:szCs w:val="22"/>
        </w:rPr>
      </w:pPr>
      <w:r w:rsidRPr="006B4E93">
        <w:rPr>
          <w:rFonts w:ascii="Open Sans" w:eastAsia="Aptos" w:hAnsi="Open Sans" w:cs="Open Sans"/>
          <w:b/>
          <w:bCs/>
          <w:sz w:val="22"/>
          <w:szCs w:val="22"/>
        </w:rPr>
        <w:t>Intervention, recovery and rescue</w:t>
      </w:r>
    </w:p>
    <w:p w14:paraId="2B6086C6" w14:textId="7E898F92" w:rsidR="00473B66" w:rsidRDefault="00CC3124" w:rsidP="00CC3124">
      <w:pPr>
        <w:pStyle w:val="paragraph"/>
        <w:spacing w:before="0" w:beforeAutospacing="0" w:after="120" w:afterAutospacing="0"/>
        <w:textAlignment w:val="baseline"/>
        <w:rPr>
          <w:rFonts w:ascii="Open Sans" w:eastAsia="Aptos" w:hAnsi="Open Sans" w:cs="Open Sans"/>
          <w:sz w:val="22"/>
          <w:szCs w:val="22"/>
        </w:rPr>
      </w:pPr>
      <w:r w:rsidRPr="00CC3124">
        <w:rPr>
          <w:rFonts w:ascii="Open Sans" w:eastAsia="Aptos" w:hAnsi="Open Sans" w:cs="Open Sans"/>
          <w:sz w:val="22"/>
          <w:szCs w:val="22"/>
        </w:rPr>
        <w:t xml:space="preserve">RSH should be able to act where landlords cannot or will not address serious weaknesses. </w:t>
      </w:r>
      <w:r w:rsidR="007577E3" w:rsidRPr="007577E3">
        <w:rPr>
          <w:rFonts w:ascii="Open Sans" w:eastAsia="Aptos" w:hAnsi="Open Sans" w:cs="Open Sans"/>
          <w:sz w:val="22"/>
          <w:szCs w:val="22"/>
        </w:rPr>
        <w:t>Clear escalation and intervention arrangements are an important part of</w:t>
      </w:r>
      <w:r w:rsidR="000F07B8">
        <w:rPr>
          <w:rFonts w:ascii="Open Sans" w:eastAsia="Aptos" w:hAnsi="Open Sans" w:cs="Open Sans"/>
          <w:sz w:val="22"/>
          <w:szCs w:val="22"/>
        </w:rPr>
        <w:t xml:space="preserve"> meeting</w:t>
      </w:r>
      <w:r w:rsidR="004C287D">
        <w:rPr>
          <w:rFonts w:ascii="Open Sans" w:eastAsia="Aptos" w:hAnsi="Open Sans" w:cs="Open Sans"/>
          <w:sz w:val="22"/>
          <w:szCs w:val="22"/>
        </w:rPr>
        <w:t xml:space="preserve"> the nee</w:t>
      </w:r>
      <w:r w:rsidR="00A243B9">
        <w:rPr>
          <w:rFonts w:ascii="Open Sans" w:eastAsia="Aptos" w:hAnsi="Open Sans" w:cs="Open Sans"/>
          <w:sz w:val="22"/>
          <w:szCs w:val="22"/>
        </w:rPr>
        <w:t>ds of</w:t>
      </w:r>
      <w:r w:rsidR="007577E3" w:rsidRPr="007577E3">
        <w:rPr>
          <w:rFonts w:ascii="Open Sans" w:eastAsia="Aptos" w:hAnsi="Open Sans" w:cs="Open Sans"/>
          <w:sz w:val="22"/>
          <w:szCs w:val="22"/>
        </w:rPr>
        <w:t xml:space="preserve"> residents, </w:t>
      </w:r>
      <w:r w:rsidR="008050DA">
        <w:rPr>
          <w:rFonts w:ascii="Open Sans" w:eastAsia="Aptos" w:hAnsi="Open Sans" w:cs="Open Sans"/>
          <w:sz w:val="22"/>
          <w:szCs w:val="22"/>
        </w:rPr>
        <w:t>prote</w:t>
      </w:r>
      <w:r w:rsidR="00E25EE1">
        <w:rPr>
          <w:rFonts w:ascii="Open Sans" w:eastAsia="Aptos" w:hAnsi="Open Sans" w:cs="Open Sans"/>
          <w:sz w:val="22"/>
          <w:szCs w:val="22"/>
        </w:rPr>
        <w:t xml:space="preserve">cting </w:t>
      </w:r>
      <w:r w:rsidR="007577E3" w:rsidRPr="007577E3">
        <w:rPr>
          <w:rFonts w:ascii="Open Sans" w:eastAsia="Aptos" w:hAnsi="Open Sans" w:cs="Open Sans"/>
          <w:sz w:val="22"/>
          <w:szCs w:val="22"/>
        </w:rPr>
        <w:t xml:space="preserve">their homes and </w:t>
      </w:r>
      <w:r w:rsidR="006A3C7B">
        <w:rPr>
          <w:rFonts w:ascii="Open Sans" w:eastAsia="Aptos" w:hAnsi="Open Sans" w:cs="Open Sans"/>
          <w:sz w:val="22"/>
          <w:szCs w:val="22"/>
        </w:rPr>
        <w:t>maint</w:t>
      </w:r>
      <w:r w:rsidR="00410373">
        <w:rPr>
          <w:rFonts w:ascii="Open Sans" w:eastAsia="Aptos" w:hAnsi="Open Sans" w:cs="Open Sans"/>
          <w:sz w:val="22"/>
          <w:szCs w:val="22"/>
        </w:rPr>
        <w:t xml:space="preserve">aining </w:t>
      </w:r>
      <w:r w:rsidR="007577E3" w:rsidRPr="007577E3">
        <w:rPr>
          <w:rFonts w:ascii="Open Sans" w:eastAsia="Aptos" w:hAnsi="Open Sans" w:cs="Open Sans"/>
          <w:sz w:val="22"/>
          <w:szCs w:val="22"/>
        </w:rPr>
        <w:t>confidence in the sector.</w:t>
      </w:r>
      <w:r w:rsidR="00473B66">
        <w:rPr>
          <w:rFonts w:ascii="Open Sans" w:eastAsia="Aptos" w:hAnsi="Open Sans" w:cs="Open Sans"/>
          <w:sz w:val="22"/>
          <w:szCs w:val="22"/>
        </w:rPr>
        <w:t xml:space="preserve"> </w:t>
      </w:r>
      <w:r w:rsidR="00473B66" w:rsidRPr="00473B66">
        <w:rPr>
          <w:rFonts w:ascii="Open Sans" w:eastAsia="Aptos" w:hAnsi="Open Sans" w:cs="Open Sans"/>
          <w:sz w:val="22"/>
          <w:szCs w:val="22"/>
        </w:rPr>
        <w:t>The future framework should set out how RSH’s involvement would intensify as risks increase, how recovery plans would be used, how lenders and other relevant parties would be engaged and how residents and continuity of service would be protected through any resolution process.</w:t>
      </w:r>
      <w:r w:rsidR="00473B66">
        <w:rPr>
          <w:rFonts w:ascii="Open Sans" w:eastAsia="Aptos" w:hAnsi="Open Sans" w:cs="Open Sans"/>
          <w:sz w:val="22"/>
          <w:szCs w:val="22"/>
        </w:rPr>
        <w:t xml:space="preserve"> </w:t>
      </w:r>
    </w:p>
    <w:p w14:paraId="0B08DD04" w14:textId="77777777" w:rsidR="0063102B" w:rsidRDefault="0063102B" w:rsidP="00933EDC">
      <w:pPr>
        <w:pStyle w:val="paragraph"/>
        <w:spacing w:before="0" w:beforeAutospacing="0" w:after="120" w:afterAutospacing="0"/>
        <w:textAlignment w:val="baseline"/>
        <w:rPr>
          <w:rFonts w:ascii="Open Sans" w:eastAsia="Aptos" w:hAnsi="Open Sans" w:cs="Open Sans"/>
          <w:sz w:val="22"/>
          <w:szCs w:val="22"/>
        </w:rPr>
      </w:pPr>
      <w:r w:rsidRPr="0063102B">
        <w:rPr>
          <w:rFonts w:ascii="Open Sans" w:eastAsia="Aptos" w:hAnsi="Open Sans" w:cs="Open Sans"/>
          <w:sz w:val="22"/>
          <w:szCs w:val="22"/>
        </w:rPr>
        <w:t>RSH should explore with the sector whether it could facilitate voluntary, non-judgemental peer support or challenge for providers showing signs of emerging governance or financial difficulty before formal intervention is required. This could draw on peer-review approaches used elsewhere, while remaining distinct from regulatory judgement and preserving Board accountability.</w:t>
      </w:r>
    </w:p>
    <w:p w14:paraId="65ED17C0" w14:textId="13EBC862" w:rsidR="00933EDC" w:rsidRDefault="002823E8" w:rsidP="00933EDC">
      <w:pPr>
        <w:pStyle w:val="paragraph"/>
        <w:spacing w:before="0" w:beforeAutospacing="0" w:after="120" w:afterAutospacing="0"/>
        <w:textAlignment w:val="baseline"/>
        <w:rPr>
          <w:rFonts w:ascii="Open Sans" w:eastAsia="Aptos" w:hAnsi="Open Sans" w:cs="Open Sans"/>
          <w:sz w:val="22"/>
          <w:szCs w:val="22"/>
        </w:rPr>
      </w:pPr>
      <w:r>
        <w:rPr>
          <w:rFonts w:ascii="Open Sans" w:eastAsia="Aptos" w:hAnsi="Open Sans" w:cs="Open Sans"/>
          <w:sz w:val="22"/>
          <w:szCs w:val="22"/>
        </w:rPr>
        <w:t>S</w:t>
      </w:r>
      <w:r w:rsidR="00933EDC" w:rsidRPr="00933EDC">
        <w:rPr>
          <w:rFonts w:ascii="Open Sans" w:eastAsia="Aptos" w:hAnsi="Open Sans" w:cs="Open Sans"/>
          <w:sz w:val="22"/>
          <w:szCs w:val="22"/>
        </w:rPr>
        <w:t>cenario and recovery planning should remain proportionate to actual risk. It can support preparedness, but should not become a recurring compliance exercise requiring significant work where the practical regulatory value is limited.</w:t>
      </w:r>
      <w:r w:rsidR="00327AAF" w:rsidRPr="00327AAF">
        <w:t xml:space="preserve"> </w:t>
      </w:r>
      <w:r w:rsidR="00327AAF" w:rsidRPr="00327AAF">
        <w:rPr>
          <w:rFonts w:ascii="Open Sans" w:eastAsia="Aptos" w:hAnsi="Open Sans" w:cs="Open Sans"/>
          <w:sz w:val="22"/>
          <w:szCs w:val="22"/>
        </w:rPr>
        <w:t>RSH should also be clear about when it moves from engagement to intervention, so action is not delayed until the options for recovery have narrowed.</w:t>
      </w:r>
    </w:p>
    <w:p w14:paraId="0F202D2B" w14:textId="3F094219" w:rsidR="00CC3124" w:rsidRPr="00CC3124" w:rsidRDefault="00CC3124" w:rsidP="00CC3124">
      <w:pPr>
        <w:pStyle w:val="paragraph"/>
        <w:spacing w:before="0" w:beforeAutospacing="0" w:after="120" w:afterAutospacing="0"/>
        <w:textAlignment w:val="baseline"/>
        <w:rPr>
          <w:rFonts w:ascii="Open Sans" w:eastAsia="Aptos" w:hAnsi="Open Sans" w:cs="Open Sans"/>
          <w:sz w:val="22"/>
          <w:szCs w:val="22"/>
        </w:rPr>
      </w:pPr>
      <w:r w:rsidRPr="00CC3124">
        <w:rPr>
          <w:rFonts w:ascii="Open Sans" w:eastAsia="Aptos" w:hAnsi="Open Sans" w:cs="Open Sans"/>
          <w:sz w:val="22"/>
          <w:szCs w:val="22"/>
        </w:rPr>
        <w:t xml:space="preserve">There should also be greater clarity on the period after a provider rescues or takes over a failing organisation. </w:t>
      </w:r>
      <w:r w:rsidR="00FC4BCD" w:rsidRPr="00FC4BCD">
        <w:rPr>
          <w:rFonts w:ascii="Open Sans" w:eastAsia="Aptos" w:hAnsi="Open Sans" w:cs="Open Sans"/>
          <w:sz w:val="22"/>
          <w:szCs w:val="22"/>
        </w:rPr>
        <w:t>A financially strong provider may need time to work through merger, integration, asset risk and recovery planning before the full effect on its ongoing viability can be assessed. RSH’s approach should support responsible rescue activity and recognise the temporary financial consequences associated with taking on a distressed provider.</w:t>
      </w:r>
    </w:p>
    <w:p w14:paraId="072A91F0" w14:textId="0A344D16" w:rsidR="009147C0" w:rsidRDefault="006B4E93" w:rsidP="00CC3124">
      <w:pPr>
        <w:pStyle w:val="paragraph"/>
        <w:spacing w:before="0" w:beforeAutospacing="0" w:after="120" w:afterAutospacing="0"/>
        <w:textAlignment w:val="baseline"/>
        <w:rPr>
          <w:rFonts w:ascii="Open Sans" w:eastAsia="Aptos" w:hAnsi="Open Sans" w:cs="Open Sans"/>
          <w:sz w:val="22"/>
          <w:szCs w:val="22"/>
        </w:rPr>
      </w:pPr>
      <w:r w:rsidRPr="006B4E93">
        <w:rPr>
          <w:rFonts w:ascii="Open Sans" w:eastAsia="Aptos" w:hAnsi="Open Sans" w:cs="Open Sans"/>
          <w:sz w:val="22"/>
          <w:szCs w:val="22"/>
        </w:rPr>
        <w:t xml:space="preserve">For very large providers, the practical options for rescue may be more limited. RSH and government should consider whether further statutory clarity is needed around resolution arrangements, including the treatment of debt where an organisation of significant scale enters serious financial distress. </w:t>
      </w:r>
      <w:r w:rsidR="009147C0" w:rsidRPr="009147C0">
        <w:rPr>
          <w:rFonts w:ascii="Open Sans" w:eastAsia="Aptos" w:hAnsi="Open Sans" w:cs="Open Sans"/>
          <w:sz w:val="22"/>
          <w:szCs w:val="22"/>
        </w:rPr>
        <w:t>The priority is continuity of service for residents, protection of their homes and an orderly outcome for lenders and investors.</w:t>
      </w:r>
      <w:r w:rsidR="009147C0" w:rsidRPr="009147C0">
        <w:t xml:space="preserve"> </w:t>
      </w:r>
      <w:r w:rsidR="009147C0" w:rsidRPr="009147C0">
        <w:rPr>
          <w:rFonts w:ascii="Open Sans" w:eastAsia="Aptos" w:hAnsi="Open Sans" w:cs="Open Sans"/>
          <w:sz w:val="22"/>
          <w:szCs w:val="22"/>
        </w:rPr>
        <w:t>Information published during a recovery or resolution process also needs careful handling. Residents and stakeholders require clear information, while detailed commercially sensitive material needed for regulatory assurance may need to remain confidential where publication could undermine recovery activity or financial stability.</w:t>
      </w:r>
    </w:p>
    <w:p w14:paraId="117E5739" w14:textId="4526216A" w:rsidR="00CC3124" w:rsidRPr="00CC3124" w:rsidRDefault="00CC3124" w:rsidP="00BC08B9">
      <w:pPr>
        <w:pStyle w:val="paragraph"/>
        <w:spacing w:after="120"/>
        <w:textAlignment w:val="baseline"/>
        <w:rPr>
          <w:rFonts w:ascii="Open Sans" w:eastAsia="Aptos" w:hAnsi="Open Sans" w:cs="Open Sans"/>
          <w:b/>
          <w:bCs/>
          <w:sz w:val="22"/>
          <w:szCs w:val="22"/>
        </w:rPr>
      </w:pPr>
      <w:r w:rsidRPr="00CC3124">
        <w:rPr>
          <w:rFonts w:ascii="Open Sans" w:eastAsia="Aptos" w:hAnsi="Open Sans" w:cs="Open Sans"/>
          <w:b/>
          <w:bCs/>
          <w:sz w:val="22"/>
          <w:szCs w:val="22"/>
        </w:rPr>
        <w:t>Collaborative innovation</w:t>
      </w:r>
    </w:p>
    <w:p w14:paraId="090B8840" w14:textId="408B3713" w:rsidR="008B6407" w:rsidRDefault="008B6407" w:rsidP="008B6407">
      <w:pPr>
        <w:pStyle w:val="paragraph"/>
        <w:spacing w:after="120"/>
        <w:textAlignment w:val="baseline"/>
        <w:rPr>
          <w:rFonts w:ascii="Open Sans" w:eastAsia="Aptos" w:hAnsi="Open Sans" w:cs="Open Sans"/>
          <w:sz w:val="22"/>
          <w:szCs w:val="22"/>
        </w:rPr>
      </w:pPr>
      <w:r w:rsidRPr="008B6407">
        <w:rPr>
          <w:rFonts w:ascii="Open Sans" w:eastAsia="Aptos" w:hAnsi="Open Sans" w:cs="Open Sans"/>
          <w:sz w:val="22"/>
          <w:szCs w:val="22"/>
        </w:rPr>
        <w:t>Members support collaboration across the sector on complex challenges, including data, artificial intelligence, procurement, retrofit, net zero, building safety, financing and financial resilience.</w:t>
      </w:r>
    </w:p>
    <w:p w14:paraId="4D8CC080" w14:textId="77777777" w:rsidR="00DE166D" w:rsidRDefault="00DE166D" w:rsidP="008B6407">
      <w:pPr>
        <w:pStyle w:val="paragraph"/>
        <w:spacing w:before="0" w:beforeAutospacing="0" w:after="120" w:afterAutospacing="0"/>
        <w:textAlignment w:val="baseline"/>
        <w:rPr>
          <w:rFonts w:ascii="Open Sans" w:eastAsia="Aptos" w:hAnsi="Open Sans" w:cs="Open Sans"/>
          <w:sz w:val="22"/>
          <w:szCs w:val="22"/>
        </w:rPr>
      </w:pPr>
      <w:r w:rsidRPr="00DE166D">
        <w:rPr>
          <w:rFonts w:ascii="Open Sans" w:eastAsia="Aptos" w:hAnsi="Open Sans" w:cs="Open Sans"/>
          <w:sz w:val="22"/>
          <w:szCs w:val="22"/>
        </w:rPr>
        <w:t>RSH's role in innovation should remain closely tied to its regulatory remit. It can help coordinate where the regulatory framework itself creates barriers or where common regulatory standards are needed, but it should not promote or mandate particular products or models. Its role should be to test whether Boards have considered relevant options, the evidence behind their decisions and the associated long-term risks, recognising that a Board may reasonably conclude that a particular approach is not right for its organisation. Where new models are pursued, RSH should consider whether short-term benefits have been weighed against longer-term implications for control, stewardship, financial resilience and residents.</w:t>
      </w:r>
    </w:p>
    <w:p w14:paraId="1C1AFDE9" w14:textId="2BED66C8" w:rsidR="00CC3124" w:rsidRPr="00CC3124" w:rsidRDefault="00CC3124" w:rsidP="008B6407">
      <w:pPr>
        <w:pStyle w:val="paragraph"/>
        <w:spacing w:before="0" w:beforeAutospacing="0" w:after="120" w:afterAutospacing="0"/>
        <w:textAlignment w:val="baseline"/>
        <w:rPr>
          <w:rFonts w:ascii="Open Sans" w:eastAsia="Aptos" w:hAnsi="Open Sans" w:cs="Open Sans"/>
          <w:b/>
          <w:bCs/>
          <w:sz w:val="22"/>
          <w:szCs w:val="22"/>
        </w:rPr>
      </w:pPr>
      <w:r w:rsidRPr="00CC3124">
        <w:rPr>
          <w:rFonts w:ascii="Open Sans" w:eastAsia="Aptos" w:hAnsi="Open Sans" w:cs="Open Sans"/>
          <w:b/>
          <w:bCs/>
          <w:sz w:val="22"/>
          <w:szCs w:val="22"/>
        </w:rPr>
        <w:t xml:space="preserve">Aligning </w:t>
      </w:r>
      <w:r w:rsidR="004E6F0E">
        <w:rPr>
          <w:rFonts w:ascii="Open Sans" w:eastAsia="Aptos" w:hAnsi="Open Sans" w:cs="Open Sans"/>
          <w:b/>
          <w:bCs/>
          <w:sz w:val="22"/>
          <w:szCs w:val="22"/>
        </w:rPr>
        <w:t xml:space="preserve">regulation, funding and delivery </w:t>
      </w:r>
    </w:p>
    <w:p w14:paraId="1E136754" w14:textId="77777777" w:rsidR="005678EC" w:rsidRDefault="005678EC" w:rsidP="00375179">
      <w:pPr>
        <w:pStyle w:val="paragraph"/>
        <w:spacing w:after="120"/>
        <w:textAlignment w:val="baseline"/>
        <w:rPr>
          <w:rFonts w:ascii="Open Sans" w:eastAsia="Aptos" w:hAnsi="Open Sans" w:cs="Open Sans"/>
          <w:sz w:val="22"/>
          <w:szCs w:val="22"/>
        </w:rPr>
      </w:pPr>
      <w:r w:rsidRPr="005678EC">
        <w:rPr>
          <w:rFonts w:ascii="Open Sans" w:eastAsia="Aptos" w:hAnsi="Open Sans" w:cs="Open Sans"/>
          <w:sz w:val="22"/>
          <w:szCs w:val="22"/>
        </w:rPr>
        <w:t>Providers’ ability to deliver more and better social homes is also shaped by decisions across government and other public bodies</w:t>
      </w:r>
      <w:r w:rsidR="00375179" w:rsidRPr="00375179">
        <w:rPr>
          <w:rFonts w:ascii="Open Sans" w:eastAsia="Aptos" w:hAnsi="Open Sans" w:cs="Open Sans"/>
          <w:sz w:val="22"/>
          <w:szCs w:val="22"/>
        </w:rPr>
        <w:t xml:space="preserve">. RSH, government, Homes England, the </w:t>
      </w:r>
      <w:r w:rsidR="00375179">
        <w:rPr>
          <w:rFonts w:ascii="Open Sans" w:eastAsia="Aptos" w:hAnsi="Open Sans" w:cs="Open Sans"/>
          <w:sz w:val="22"/>
          <w:szCs w:val="22"/>
        </w:rPr>
        <w:t>GLA</w:t>
      </w:r>
      <w:r w:rsidR="00375179" w:rsidRPr="00375179">
        <w:rPr>
          <w:rFonts w:ascii="Open Sans" w:eastAsia="Aptos" w:hAnsi="Open Sans" w:cs="Open Sans"/>
          <w:sz w:val="22"/>
          <w:szCs w:val="22"/>
        </w:rPr>
        <w:t>, local authorities</w:t>
      </w:r>
      <w:r>
        <w:rPr>
          <w:rFonts w:ascii="Open Sans" w:eastAsia="Aptos" w:hAnsi="Open Sans" w:cs="Open Sans"/>
          <w:sz w:val="22"/>
          <w:szCs w:val="22"/>
        </w:rPr>
        <w:t xml:space="preserve">, </w:t>
      </w:r>
      <w:r w:rsidR="00375179" w:rsidRPr="00375179">
        <w:rPr>
          <w:rFonts w:ascii="Open Sans" w:eastAsia="Aptos" w:hAnsi="Open Sans" w:cs="Open Sans"/>
          <w:sz w:val="22"/>
          <w:szCs w:val="22"/>
        </w:rPr>
        <w:t xml:space="preserve">planning authorities </w:t>
      </w:r>
      <w:r>
        <w:rPr>
          <w:rFonts w:ascii="Open Sans" w:eastAsia="Aptos" w:hAnsi="Open Sans" w:cs="Open Sans"/>
          <w:sz w:val="22"/>
          <w:szCs w:val="22"/>
        </w:rPr>
        <w:t xml:space="preserve">and </w:t>
      </w:r>
      <w:r w:rsidRPr="005678EC">
        <w:rPr>
          <w:rFonts w:ascii="Open Sans" w:eastAsia="Aptos" w:hAnsi="Open Sans" w:cs="Open Sans"/>
          <w:sz w:val="22"/>
          <w:szCs w:val="22"/>
        </w:rPr>
        <w:t>building safety bodies</w:t>
      </w:r>
      <w:r>
        <w:rPr>
          <w:rFonts w:ascii="Open Sans" w:eastAsia="Aptos" w:hAnsi="Open Sans" w:cs="Open Sans"/>
          <w:sz w:val="22"/>
          <w:szCs w:val="22"/>
        </w:rPr>
        <w:t xml:space="preserve"> c</w:t>
      </w:r>
      <w:r w:rsidR="00375179" w:rsidRPr="00375179">
        <w:rPr>
          <w:rFonts w:ascii="Open Sans" w:eastAsia="Aptos" w:hAnsi="Open Sans" w:cs="Open Sans"/>
          <w:sz w:val="22"/>
          <w:szCs w:val="22"/>
        </w:rPr>
        <w:t>an all influence the funding, standards and conditions within which providers operate.</w:t>
      </w:r>
      <w:r w:rsidR="007D4310">
        <w:rPr>
          <w:rFonts w:ascii="Open Sans" w:eastAsia="Aptos" w:hAnsi="Open Sans" w:cs="Open Sans"/>
          <w:sz w:val="22"/>
          <w:szCs w:val="22"/>
        </w:rPr>
        <w:t xml:space="preserve"> </w:t>
      </w:r>
    </w:p>
    <w:p w14:paraId="4C0D0C44" w14:textId="119DD947" w:rsidR="003831BC" w:rsidRDefault="00455CA3" w:rsidP="00375179">
      <w:pPr>
        <w:pStyle w:val="paragraph"/>
        <w:spacing w:after="120"/>
        <w:textAlignment w:val="baseline"/>
        <w:rPr>
          <w:rFonts w:ascii="Open Sans" w:eastAsia="Aptos" w:hAnsi="Open Sans" w:cs="Open Sans"/>
          <w:sz w:val="22"/>
          <w:szCs w:val="22"/>
        </w:rPr>
      </w:pPr>
      <w:r w:rsidRPr="00455CA3">
        <w:rPr>
          <w:rFonts w:ascii="Open Sans" w:eastAsia="Aptos" w:hAnsi="Open Sans" w:cs="Open Sans"/>
          <w:sz w:val="22"/>
          <w:szCs w:val="22"/>
        </w:rPr>
        <w:t>The future framework should support greater alignment between regulatory expectations, funding conditions, planning requirements and delivery objectives. RSH’s sector-wide evidence can help identify where requirements are working against each other or where better coordination would support investment in residents’ existing homes and new supply.</w:t>
      </w:r>
      <w:r>
        <w:rPr>
          <w:rFonts w:ascii="Open Sans" w:eastAsia="Aptos" w:hAnsi="Open Sans" w:cs="Open Sans"/>
          <w:sz w:val="22"/>
          <w:szCs w:val="22"/>
        </w:rPr>
        <w:t xml:space="preserve"> </w:t>
      </w:r>
      <w:r w:rsidR="003831BC" w:rsidRPr="003831BC">
        <w:rPr>
          <w:rFonts w:ascii="Open Sans" w:eastAsia="Aptos" w:hAnsi="Open Sans" w:cs="Open Sans"/>
          <w:sz w:val="22"/>
          <w:szCs w:val="22"/>
        </w:rPr>
        <w:t>This becomes increasingly important as housing policy is devolved. Providers operating in London can be accountable to national, regional and local requirements at the same time. RSH should work with</w:t>
      </w:r>
      <w:r w:rsidR="0F43DC91" w:rsidRPr="43EA7410">
        <w:rPr>
          <w:rFonts w:ascii="Open Sans" w:eastAsia="Aptos" w:hAnsi="Open Sans" w:cs="Open Sans"/>
          <w:sz w:val="22"/>
          <w:szCs w:val="22"/>
        </w:rPr>
        <w:t xml:space="preserve"> </w:t>
      </w:r>
      <w:r w:rsidR="0F43DC91" w:rsidRPr="48BA5123">
        <w:rPr>
          <w:rFonts w:ascii="Open Sans" w:eastAsia="Aptos" w:hAnsi="Open Sans" w:cs="Open Sans"/>
          <w:sz w:val="22"/>
          <w:szCs w:val="22"/>
        </w:rPr>
        <w:t>the</w:t>
      </w:r>
      <w:r w:rsidR="003831BC" w:rsidRPr="003831BC">
        <w:rPr>
          <w:rFonts w:ascii="Open Sans" w:eastAsia="Aptos" w:hAnsi="Open Sans" w:cs="Open Sans"/>
          <w:sz w:val="22"/>
          <w:szCs w:val="22"/>
        </w:rPr>
        <w:t xml:space="preserve"> government and relevant public bodies to reduce overlapping or conflicting regulatory, funding and reporting requirements across those levels.</w:t>
      </w:r>
    </w:p>
    <w:p w14:paraId="50C71A2F" w14:textId="0F804826" w:rsidR="00E27246" w:rsidRDefault="00375179" w:rsidP="00375179">
      <w:pPr>
        <w:pStyle w:val="paragraph"/>
        <w:spacing w:after="120"/>
        <w:textAlignment w:val="baseline"/>
        <w:rPr>
          <w:rFonts w:ascii="Open Sans" w:eastAsia="Aptos" w:hAnsi="Open Sans" w:cs="Open Sans"/>
          <w:sz w:val="22"/>
          <w:szCs w:val="22"/>
        </w:rPr>
      </w:pPr>
      <w:r w:rsidRPr="00375179">
        <w:rPr>
          <w:rFonts w:ascii="Open Sans" w:eastAsia="Aptos" w:hAnsi="Open Sans" w:cs="Open Sans"/>
          <w:sz w:val="22"/>
          <w:szCs w:val="22"/>
        </w:rPr>
        <w:t xml:space="preserve">This does not require RSH to take responsibility for the policy or funding decisions of other bodies. </w:t>
      </w:r>
      <w:r w:rsidR="007C3683" w:rsidRPr="007C3683">
        <w:rPr>
          <w:rFonts w:ascii="Open Sans" w:eastAsia="Aptos" w:hAnsi="Open Sans" w:cs="Open Sans"/>
          <w:sz w:val="22"/>
          <w:szCs w:val="22"/>
        </w:rPr>
        <w:t>RSH’s regulatory evidence and understanding of provider capacity can help those bodies see where the combined framework is supporting, or constraining, sustainable delivery.</w:t>
      </w:r>
    </w:p>
    <w:p w14:paraId="5D43BC18" w14:textId="3D646D6F" w:rsidR="00206709" w:rsidRPr="007D4310" w:rsidRDefault="00914ADC" w:rsidP="00375179">
      <w:pPr>
        <w:pStyle w:val="paragraph"/>
        <w:spacing w:after="120"/>
        <w:textAlignment w:val="baseline"/>
        <w:rPr>
          <w:rFonts w:ascii="Open Sans" w:eastAsia="Aptos" w:hAnsi="Open Sans" w:cs="Open Sans"/>
          <w:sz w:val="22"/>
          <w:szCs w:val="22"/>
        </w:rPr>
      </w:pPr>
      <w:r>
        <w:rPr>
          <w:rFonts w:ascii="Open Sans" w:eastAsia="Aptos" w:hAnsi="Open Sans" w:cs="Open Sans"/>
          <w:sz w:val="22"/>
          <w:szCs w:val="22"/>
        </w:rPr>
        <w:t>To conclude, t</w:t>
      </w:r>
      <w:r w:rsidR="00206709" w:rsidRPr="00206709">
        <w:rPr>
          <w:rFonts w:ascii="Open Sans" w:eastAsia="Aptos" w:hAnsi="Open Sans" w:cs="Open Sans"/>
          <w:sz w:val="22"/>
          <w:szCs w:val="22"/>
        </w:rPr>
        <w:t>he next stage of the review should preserve the strengths of economic regulation while keeping boards accountable for evidence-led decisions about the use of finite capacity. The framework should support responsible investment in existing homes and new supply, target scrutiny where risks and potential consequences are greatest, and help government understand where the combined effect of policy, funding and regulation is constraining sustainable delivery.</w:t>
      </w:r>
    </w:p>
    <w:sectPr w:rsidR="00206709" w:rsidRPr="007D4310" w:rsidSect="004A3745">
      <w:headerReference w:type="default" r:id="rId11"/>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2C5BF" w14:textId="77777777" w:rsidR="003F5548" w:rsidRDefault="003F5548" w:rsidP="00921326">
      <w:pPr>
        <w:spacing w:after="0" w:line="240" w:lineRule="auto"/>
      </w:pPr>
      <w:r>
        <w:separator/>
      </w:r>
    </w:p>
  </w:endnote>
  <w:endnote w:type="continuationSeparator" w:id="0">
    <w:p w14:paraId="510F9E04" w14:textId="77777777" w:rsidR="003F5548" w:rsidRDefault="003F5548" w:rsidP="00921326">
      <w:pPr>
        <w:spacing w:after="0" w:line="240" w:lineRule="auto"/>
      </w:pPr>
      <w:r>
        <w:continuationSeparator/>
      </w:r>
    </w:p>
  </w:endnote>
  <w:endnote w:type="continuationNotice" w:id="1">
    <w:p w14:paraId="7F460946" w14:textId="77777777" w:rsidR="003F5548" w:rsidRDefault="003F55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Open Sans">
    <w:altName w:val="Segoe UI"/>
    <w:charset w:val="00"/>
    <w:family w:val="swiss"/>
    <w:pitch w:val="variable"/>
    <w:sig w:usb0="E00002EF" w:usb1="4000205B" w:usb2="00000028" w:usb3="00000000" w:csb0="000001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D9DA4" w14:textId="77777777" w:rsidR="003F5548" w:rsidRDefault="003F5548" w:rsidP="00921326">
      <w:pPr>
        <w:spacing w:after="0" w:line="240" w:lineRule="auto"/>
      </w:pPr>
      <w:r>
        <w:separator/>
      </w:r>
    </w:p>
  </w:footnote>
  <w:footnote w:type="continuationSeparator" w:id="0">
    <w:p w14:paraId="048810EC" w14:textId="77777777" w:rsidR="003F5548" w:rsidRDefault="003F5548" w:rsidP="00921326">
      <w:pPr>
        <w:spacing w:after="0" w:line="240" w:lineRule="auto"/>
      </w:pPr>
      <w:r>
        <w:continuationSeparator/>
      </w:r>
    </w:p>
  </w:footnote>
  <w:footnote w:type="continuationNotice" w:id="1">
    <w:p w14:paraId="0F2BD803" w14:textId="77777777" w:rsidR="003F5548" w:rsidRDefault="003F55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3A4D" w14:textId="77777777" w:rsidR="00C80E17" w:rsidRDefault="00C80E17">
    <w:pPr>
      <w:pStyle w:val="Header"/>
    </w:pPr>
    <w:r>
      <w:rPr>
        <w:noProof/>
      </w:rPr>
      <w:drawing>
        <wp:anchor distT="0" distB="0" distL="114300" distR="114300" simplePos="0" relativeHeight="251658240" behindDoc="1" locked="0" layoutInCell="1" allowOverlap="1" wp14:anchorId="49C8C64A" wp14:editId="366BD1FC">
          <wp:simplePos x="0" y="0"/>
          <wp:positionH relativeFrom="rightMargin">
            <wp:align>left</wp:align>
          </wp:positionH>
          <wp:positionV relativeFrom="paragraph">
            <wp:posOffset>-204294</wp:posOffset>
          </wp:positionV>
          <wp:extent cx="660827" cy="660827"/>
          <wp:effectExtent l="0" t="0" r="6350" b="6350"/>
          <wp:wrapNone/>
          <wp:docPr id="1337017330" name="Picture 1" descr="A white letter on a purple background&#10;&#10;Description automatically generated, Picture">
            <a:extLst xmlns:a="http://schemas.openxmlformats.org/drawingml/2006/main">
              <a:ext uri="{FF2B5EF4-FFF2-40B4-BE49-F238E27FC236}">
                <a16:creationId xmlns:a16="http://schemas.microsoft.com/office/drawing/2014/main" id="{56BE20BC-6A47-4981-9CD1-52C8CBE393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letter on a purple background&#10;&#10;Description automatically generated,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827" cy="660827"/>
                  </a:xfrm>
                  <a:prstGeom prst="rect">
                    <a:avLst/>
                  </a:prstGeom>
                  <a:noFill/>
                  <a:ln>
                    <a:noFill/>
                  </a:ln>
                </pic:spPr>
              </pic:pic>
            </a:graphicData>
          </a:graphic>
        </wp:anchor>
      </w:drawing>
    </w:r>
    <w:r>
      <w:rPr>
        <w:noProof/>
      </w:rPr>
      <w:drawing>
        <wp:anchor distT="0" distB="0" distL="114300" distR="114300" simplePos="0" relativeHeight="251658241" behindDoc="1" locked="0" layoutInCell="1" allowOverlap="1" wp14:anchorId="4C88F22C" wp14:editId="3EA6D821">
          <wp:simplePos x="0" y="0"/>
          <wp:positionH relativeFrom="rightMargin">
            <wp:align>left</wp:align>
          </wp:positionH>
          <wp:positionV relativeFrom="paragraph">
            <wp:posOffset>-204294</wp:posOffset>
          </wp:positionV>
          <wp:extent cx="660827" cy="660827"/>
          <wp:effectExtent l="0" t="0" r="6350" b="6350"/>
          <wp:wrapNone/>
          <wp:docPr id="397657351" name="Picture 1" descr="A white letter on a purple background&#10;&#10;Description automatically generated, Picture">
            <a:extLst xmlns:a="http://schemas.openxmlformats.org/drawingml/2006/main">
              <a:ext uri="{FF2B5EF4-FFF2-40B4-BE49-F238E27FC236}">
                <a16:creationId xmlns:a16="http://schemas.microsoft.com/office/drawing/2014/main" id="{0B6451FA-EF67-4FE4-B882-B8AB230CC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letter on a purple background&#10;&#10;Description automatically generated,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827" cy="660827"/>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079C7"/>
    <w:multiLevelType w:val="hybridMultilevel"/>
    <w:tmpl w:val="4A32C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7B764D"/>
    <w:multiLevelType w:val="hybridMultilevel"/>
    <w:tmpl w:val="69648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167012"/>
    <w:multiLevelType w:val="multilevel"/>
    <w:tmpl w:val="543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055453">
    <w:abstractNumId w:val="0"/>
  </w:num>
  <w:num w:numId="2" w16cid:durableId="794297641">
    <w:abstractNumId w:val="2"/>
  </w:num>
  <w:num w:numId="3" w16cid:durableId="80566425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CA"/>
    <w:rsid w:val="00000787"/>
    <w:rsid w:val="00000CB3"/>
    <w:rsid w:val="00000E27"/>
    <w:rsid w:val="00001AB9"/>
    <w:rsid w:val="0000271C"/>
    <w:rsid w:val="00004BEE"/>
    <w:rsid w:val="00004D99"/>
    <w:rsid w:val="000055B0"/>
    <w:rsid w:val="00007233"/>
    <w:rsid w:val="00007F69"/>
    <w:rsid w:val="00007F86"/>
    <w:rsid w:val="000106C4"/>
    <w:rsid w:val="000138C3"/>
    <w:rsid w:val="00014A93"/>
    <w:rsid w:val="00014D2A"/>
    <w:rsid w:val="0001519B"/>
    <w:rsid w:val="00015482"/>
    <w:rsid w:val="00015697"/>
    <w:rsid w:val="000158E6"/>
    <w:rsid w:val="0002043A"/>
    <w:rsid w:val="000206DF"/>
    <w:rsid w:val="00020B55"/>
    <w:rsid w:val="00020EC1"/>
    <w:rsid w:val="00022913"/>
    <w:rsid w:val="00022A62"/>
    <w:rsid w:val="0002314A"/>
    <w:rsid w:val="00023A51"/>
    <w:rsid w:val="00023B21"/>
    <w:rsid w:val="000242A3"/>
    <w:rsid w:val="00024AC7"/>
    <w:rsid w:val="00024BDC"/>
    <w:rsid w:val="00024DB2"/>
    <w:rsid w:val="00025673"/>
    <w:rsid w:val="00025688"/>
    <w:rsid w:val="00027597"/>
    <w:rsid w:val="00027FA2"/>
    <w:rsid w:val="00030165"/>
    <w:rsid w:val="000308B4"/>
    <w:rsid w:val="00031914"/>
    <w:rsid w:val="00031AB8"/>
    <w:rsid w:val="00032461"/>
    <w:rsid w:val="00032F6B"/>
    <w:rsid w:val="000333ED"/>
    <w:rsid w:val="00033822"/>
    <w:rsid w:val="00033B77"/>
    <w:rsid w:val="00034543"/>
    <w:rsid w:val="000345B4"/>
    <w:rsid w:val="0003477C"/>
    <w:rsid w:val="00034FB4"/>
    <w:rsid w:val="000350F9"/>
    <w:rsid w:val="00035A5C"/>
    <w:rsid w:val="000360DF"/>
    <w:rsid w:val="0003648D"/>
    <w:rsid w:val="00037161"/>
    <w:rsid w:val="00037F06"/>
    <w:rsid w:val="00041E62"/>
    <w:rsid w:val="00042173"/>
    <w:rsid w:val="0004288B"/>
    <w:rsid w:val="000432F7"/>
    <w:rsid w:val="0004487A"/>
    <w:rsid w:val="0004544A"/>
    <w:rsid w:val="000458C1"/>
    <w:rsid w:val="00045A65"/>
    <w:rsid w:val="00045C71"/>
    <w:rsid w:val="000460CB"/>
    <w:rsid w:val="0004636B"/>
    <w:rsid w:val="000463D1"/>
    <w:rsid w:val="000463E7"/>
    <w:rsid w:val="00046419"/>
    <w:rsid w:val="00046532"/>
    <w:rsid w:val="0004666B"/>
    <w:rsid w:val="00047AB3"/>
    <w:rsid w:val="000507C7"/>
    <w:rsid w:val="00050E9C"/>
    <w:rsid w:val="00052A8C"/>
    <w:rsid w:val="00053742"/>
    <w:rsid w:val="00053C31"/>
    <w:rsid w:val="00054138"/>
    <w:rsid w:val="00054259"/>
    <w:rsid w:val="000550CB"/>
    <w:rsid w:val="00055EA4"/>
    <w:rsid w:val="000575A0"/>
    <w:rsid w:val="0005785A"/>
    <w:rsid w:val="00057877"/>
    <w:rsid w:val="00057885"/>
    <w:rsid w:val="0006007D"/>
    <w:rsid w:val="0006070B"/>
    <w:rsid w:val="00061ABE"/>
    <w:rsid w:val="00061D16"/>
    <w:rsid w:val="00061E76"/>
    <w:rsid w:val="000624FD"/>
    <w:rsid w:val="000626A5"/>
    <w:rsid w:val="00062DBB"/>
    <w:rsid w:val="0006327E"/>
    <w:rsid w:val="00063F25"/>
    <w:rsid w:val="00063FB8"/>
    <w:rsid w:val="000664C2"/>
    <w:rsid w:val="000664F9"/>
    <w:rsid w:val="00067DB7"/>
    <w:rsid w:val="00070924"/>
    <w:rsid w:val="00070A07"/>
    <w:rsid w:val="0007149C"/>
    <w:rsid w:val="000716B9"/>
    <w:rsid w:val="00072242"/>
    <w:rsid w:val="00072920"/>
    <w:rsid w:val="00072A75"/>
    <w:rsid w:val="0007330A"/>
    <w:rsid w:val="000734A5"/>
    <w:rsid w:val="00075E90"/>
    <w:rsid w:val="00075ED7"/>
    <w:rsid w:val="00077C58"/>
    <w:rsid w:val="00077FE0"/>
    <w:rsid w:val="00080905"/>
    <w:rsid w:val="0008217D"/>
    <w:rsid w:val="000825A1"/>
    <w:rsid w:val="00082911"/>
    <w:rsid w:val="00082E2B"/>
    <w:rsid w:val="000830FF"/>
    <w:rsid w:val="0008323E"/>
    <w:rsid w:val="0008325F"/>
    <w:rsid w:val="00084595"/>
    <w:rsid w:val="000846F7"/>
    <w:rsid w:val="00084F16"/>
    <w:rsid w:val="00085D54"/>
    <w:rsid w:val="00085D84"/>
    <w:rsid w:val="00085DB6"/>
    <w:rsid w:val="0008776C"/>
    <w:rsid w:val="0008788C"/>
    <w:rsid w:val="00087915"/>
    <w:rsid w:val="00091184"/>
    <w:rsid w:val="0009152F"/>
    <w:rsid w:val="00091683"/>
    <w:rsid w:val="0009183F"/>
    <w:rsid w:val="000926CA"/>
    <w:rsid w:val="000941BC"/>
    <w:rsid w:val="00094761"/>
    <w:rsid w:val="000973FD"/>
    <w:rsid w:val="000A03E9"/>
    <w:rsid w:val="000A1556"/>
    <w:rsid w:val="000A1EFA"/>
    <w:rsid w:val="000A28E4"/>
    <w:rsid w:val="000A2F22"/>
    <w:rsid w:val="000A3B12"/>
    <w:rsid w:val="000A3FD0"/>
    <w:rsid w:val="000A4B43"/>
    <w:rsid w:val="000A5B02"/>
    <w:rsid w:val="000A6096"/>
    <w:rsid w:val="000A6704"/>
    <w:rsid w:val="000A6B7A"/>
    <w:rsid w:val="000A71B0"/>
    <w:rsid w:val="000A7218"/>
    <w:rsid w:val="000A75B2"/>
    <w:rsid w:val="000A77A1"/>
    <w:rsid w:val="000A7955"/>
    <w:rsid w:val="000A7CF3"/>
    <w:rsid w:val="000B033E"/>
    <w:rsid w:val="000B05DF"/>
    <w:rsid w:val="000B09EE"/>
    <w:rsid w:val="000B1154"/>
    <w:rsid w:val="000B192B"/>
    <w:rsid w:val="000B25A4"/>
    <w:rsid w:val="000B2947"/>
    <w:rsid w:val="000B3FEE"/>
    <w:rsid w:val="000B5161"/>
    <w:rsid w:val="000B591E"/>
    <w:rsid w:val="000B592F"/>
    <w:rsid w:val="000B6C77"/>
    <w:rsid w:val="000B7BF2"/>
    <w:rsid w:val="000B7ECA"/>
    <w:rsid w:val="000B7F86"/>
    <w:rsid w:val="000C279E"/>
    <w:rsid w:val="000C28B8"/>
    <w:rsid w:val="000C3450"/>
    <w:rsid w:val="000C348C"/>
    <w:rsid w:val="000C368D"/>
    <w:rsid w:val="000C3B0F"/>
    <w:rsid w:val="000C443F"/>
    <w:rsid w:val="000C5AC7"/>
    <w:rsid w:val="000C74C0"/>
    <w:rsid w:val="000C7A46"/>
    <w:rsid w:val="000D0E4D"/>
    <w:rsid w:val="000D17D7"/>
    <w:rsid w:val="000D1D95"/>
    <w:rsid w:val="000D2360"/>
    <w:rsid w:val="000D3352"/>
    <w:rsid w:val="000D33F6"/>
    <w:rsid w:val="000D36BA"/>
    <w:rsid w:val="000D393F"/>
    <w:rsid w:val="000D3A70"/>
    <w:rsid w:val="000D3FC3"/>
    <w:rsid w:val="000D40CC"/>
    <w:rsid w:val="000D4217"/>
    <w:rsid w:val="000D46FD"/>
    <w:rsid w:val="000D59CF"/>
    <w:rsid w:val="000D5DFA"/>
    <w:rsid w:val="000D6531"/>
    <w:rsid w:val="000D74C3"/>
    <w:rsid w:val="000D76F9"/>
    <w:rsid w:val="000D7D2D"/>
    <w:rsid w:val="000E19A7"/>
    <w:rsid w:val="000E315A"/>
    <w:rsid w:val="000E36F9"/>
    <w:rsid w:val="000E42EE"/>
    <w:rsid w:val="000E500D"/>
    <w:rsid w:val="000E501C"/>
    <w:rsid w:val="000E55E6"/>
    <w:rsid w:val="000E5DD9"/>
    <w:rsid w:val="000E6669"/>
    <w:rsid w:val="000E762D"/>
    <w:rsid w:val="000F00C2"/>
    <w:rsid w:val="000F0279"/>
    <w:rsid w:val="000F07B8"/>
    <w:rsid w:val="000F19FE"/>
    <w:rsid w:val="000F1E49"/>
    <w:rsid w:val="000F296E"/>
    <w:rsid w:val="000F2D3E"/>
    <w:rsid w:val="000F327D"/>
    <w:rsid w:val="000F34BE"/>
    <w:rsid w:val="000F3857"/>
    <w:rsid w:val="000F396D"/>
    <w:rsid w:val="000F3A12"/>
    <w:rsid w:val="000F431C"/>
    <w:rsid w:val="000F44B8"/>
    <w:rsid w:val="000F4D60"/>
    <w:rsid w:val="000F4EC9"/>
    <w:rsid w:val="00101A16"/>
    <w:rsid w:val="00102787"/>
    <w:rsid w:val="0010328D"/>
    <w:rsid w:val="00103D82"/>
    <w:rsid w:val="00103D8F"/>
    <w:rsid w:val="00104CEF"/>
    <w:rsid w:val="001058F8"/>
    <w:rsid w:val="001064B3"/>
    <w:rsid w:val="00106BA6"/>
    <w:rsid w:val="00106C46"/>
    <w:rsid w:val="00106E50"/>
    <w:rsid w:val="00107683"/>
    <w:rsid w:val="00110229"/>
    <w:rsid w:val="0011033C"/>
    <w:rsid w:val="00110AA3"/>
    <w:rsid w:val="001111B7"/>
    <w:rsid w:val="0011149E"/>
    <w:rsid w:val="001123EE"/>
    <w:rsid w:val="0011267A"/>
    <w:rsid w:val="001126AE"/>
    <w:rsid w:val="001132A1"/>
    <w:rsid w:val="0011393F"/>
    <w:rsid w:val="00114B05"/>
    <w:rsid w:val="00114CAE"/>
    <w:rsid w:val="00114EFB"/>
    <w:rsid w:val="001154CE"/>
    <w:rsid w:val="00116409"/>
    <w:rsid w:val="001165DD"/>
    <w:rsid w:val="00117060"/>
    <w:rsid w:val="00117A2B"/>
    <w:rsid w:val="00117CD8"/>
    <w:rsid w:val="00117DC5"/>
    <w:rsid w:val="001208F8"/>
    <w:rsid w:val="00120D92"/>
    <w:rsid w:val="00122499"/>
    <w:rsid w:val="00123CA9"/>
    <w:rsid w:val="00123CCC"/>
    <w:rsid w:val="0012444E"/>
    <w:rsid w:val="00124888"/>
    <w:rsid w:val="001249F2"/>
    <w:rsid w:val="00124DC5"/>
    <w:rsid w:val="00125AC5"/>
    <w:rsid w:val="00126B66"/>
    <w:rsid w:val="00126BA8"/>
    <w:rsid w:val="00126D0A"/>
    <w:rsid w:val="00126EF0"/>
    <w:rsid w:val="0012766C"/>
    <w:rsid w:val="00130485"/>
    <w:rsid w:val="001304F7"/>
    <w:rsid w:val="001306D7"/>
    <w:rsid w:val="00130AF4"/>
    <w:rsid w:val="001310EA"/>
    <w:rsid w:val="001314A9"/>
    <w:rsid w:val="00131812"/>
    <w:rsid w:val="00131C87"/>
    <w:rsid w:val="00131D51"/>
    <w:rsid w:val="00132622"/>
    <w:rsid w:val="00132736"/>
    <w:rsid w:val="00133A75"/>
    <w:rsid w:val="001343C6"/>
    <w:rsid w:val="0013475E"/>
    <w:rsid w:val="001353AB"/>
    <w:rsid w:val="0013548D"/>
    <w:rsid w:val="00135AA0"/>
    <w:rsid w:val="001369F2"/>
    <w:rsid w:val="001372EB"/>
    <w:rsid w:val="00140DF5"/>
    <w:rsid w:val="00141FD5"/>
    <w:rsid w:val="00142C1B"/>
    <w:rsid w:val="00143509"/>
    <w:rsid w:val="00144878"/>
    <w:rsid w:val="00145A5A"/>
    <w:rsid w:val="00145CFD"/>
    <w:rsid w:val="00145F01"/>
    <w:rsid w:val="001461DE"/>
    <w:rsid w:val="00146B7A"/>
    <w:rsid w:val="00146D25"/>
    <w:rsid w:val="00146D77"/>
    <w:rsid w:val="00147148"/>
    <w:rsid w:val="001476F4"/>
    <w:rsid w:val="00147F45"/>
    <w:rsid w:val="00150B15"/>
    <w:rsid w:val="00150D5F"/>
    <w:rsid w:val="00152E7D"/>
    <w:rsid w:val="0015328B"/>
    <w:rsid w:val="001539DF"/>
    <w:rsid w:val="001542A8"/>
    <w:rsid w:val="001544EF"/>
    <w:rsid w:val="00154C49"/>
    <w:rsid w:val="0015537E"/>
    <w:rsid w:val="0015561A"/>
    <w:rsid w:val="00155DE4"/>
    <w:rsid w:val="001575DA"/>
    <w:rsid w:val="00160D2E"/>
    <w:rsid w:val="00161C4F"/>
    <w:rsid w:val="001624C4"/>
    <w:rsid w:val="001624E5"/>
    <w:rsid w:val="00163099"/>
    <w:rsid w:val="001631E6"/>
    <w:rsid w:val="0016339A"/>
    <w:rsid w:val="00163662"/>
    <w:rsid w:val="00163E4C"/>
    <w:rsid w:val="00164E52"/>
    <w:rsid w:val="00165F3F"/>
    <w:rsid w:val="00166710"/>
    <w:rsid w:val="00166956"/>
    <w:rsid w:val="00166AA4"/>
    <w:rsid w:val="00166C3F"/>
    <w:rsid w:val="001676DE"/>
    <w:rsid w:val="00167A14"/>
    <w:rsid w:val="0017020D"/>
    <w:rsid w:val="001704BA"/>
    <w:rsid w:val="001710C8"/>
    <w:rsid w:val="001718D8"/>
    <w:rsid w:val="0017197D"/>
    <w:rsid w:val="0017276A"/>
    <w:rsid w:val="00172F94"/>
    <w:rsid w:val="00173858"/>
    <w:rsid w:val="00173B57"/>
    <w:rsid w:val="00174471"/>
    <w:rsid w:val="00177962"/>
    <w:rsid w:val="001810E2"/>
    <w:rsid w:val="001818B7"/>
    <w:rsid w:val="00181D0A"/>
    <w:rsid w:val="00182949"/>
    <w:rsid w:val="0018338B"/>
    <w:rsid w:val="00184B20"/>
    <w:rsid w:val="00185671"/>
    <w:rsid w:val="00187256"/>
    <w:rsid w:val="0018725E"/>
    <w:rsid w:val="00187E9B"/>
    <w:rsid w:val="00187F31"/>
    <w:rsid w:val="001903E4"/>
    <w:rsid w:val="0019144E"/>
    <w:rsid w:val="00191DB0"/>
    <w:rsid w:val="001920A4"/>
    <w:rsid w:val="0019297C"/>
    <w:rsid w:val="0019301B"/>
    <w:rsid w:val="00193996"/>
    <w:rsid w:val="00193CB3"/>
    <w:rsid w:val="0019437A"/>
    <w:rsid w:val="00194E73"/>
    <w:rsid w:val="0019552F"/>
    <w:rsid w:val="0019563F"/>
    <w:rsid w:val="00195667"/>
    <w:rsid w:val="00195AEC"/>
    <w:rsid w:val="00195C70"/>
    <w:rsid w:val="00196E98"/>
    <w:rsid w:val="001A0178"/>
    <w:rsid w:val="001A077D"/>
    <w:rsid w:val="001A17BA"/>
    <w:rsid w:val="001A20EF"/>
    <w:rsid w:val="001A2A65"/>
    <w:rsid w:val="001A2B46"/>
    <w:rsid w:val="001A3B43"/>
    <w:rsid w:val="001A46E8"/>
    <w:rsid w:val="001A6543"/>
    <w:rsid w:val="001A68DF"/>
    <w:rsid w:val="001A6D06"/>
    <w:rsid w:val="001A7E87"/>
    <w:rsid w:val="001B02E0"/>
    <w:rsid w:val="001B0E4F"/>
    <w:rsid w:val="001B12AF"/>
    <w:rsid w:val="001B1532"/>
    <w:rsid w:val="001B181B"/>
    <w:rsid w:val="001B190A"/>
    <w:rsid w:val="001B1E58"/>
    <w:rsid w:val="001B1E63"/>
    <w:rsid w:val="001B1F98"/>
    <w:rsid w:val="001B2466"/>
    <w:rsid w:val="001B2985"/>
    <w:rsid w:val="001B36E1"/>
    <w:rsid w:val="001B4016"/>
    <w:rsid w:val="001B463B"/>
    <w:rsid w:val="001B4FE6"/>
    <w:rsid w:val="001B540C"/>
    <w:rsid w:val="001B5B1A"/>
    <w:rsid w:val="001B5B1E"/>
    <w:rsid w:val="001B6583"/>
    <w:rsid w:val="001B7992"/>
    <w:rsid w:val="001C01E5"/>
    <w:rsid w:val="001C0221"/>
    <w:rsid w:val="001C0566"/>
    <w:rsid w:val="001C05D4"/>
    <w:rsid w:val="001C0AA9"/>
    <w:rsid w:val="001C0E94"/>
    <w:rsid w:val="001C2D79"/>
    <w:rsid w:val="001C2F2C"/>
    <w:rsid w:val="001C35FF"/>
    <w:rsid w:val="001C3DE1"/>
    <w:rsid w:val="001C4279"/>
    <w:rsid w:val="001C43D3"/>
    <w:rsid w:val="001C4616"/>
    <w:rsid w:val="001C47E5"/>
    <w:rsid w:val="001C50B9"/>
    <w:rsid w:val="001C59E2"/>
    <w:rsid w:val="001C6011"/>
    <w:rsid w:val="001C689F"/>
    <w:rsid w:val="001D1F5A"/>
    <w:rsid w:val="001D2455"/>
    <w:rsid w:val="001D27CB"/>
    <w:rsid w:val="001D3E3C"/>
    <w:rsid w:val="001D433C"/>
    <w:rsid w:val="001D4E93"/>
    <w:rsid w:val="001D4EF7"/>
    <w:rsid w:val="001D5968"/>
    <w:rsid w:val="001D6191"/>
    <w:rsid w:val="001D793E"/>
    <w:rsid w:val="001E0973"/>
    <w:rsid w:val="001E1183"/>
    <w:rsid w:val="001E128C"/>
    <w:rsid w:val="001E130A"/>
    <w:rsid w:val="001E26BE"/>
    <w:rsid w:val="001E2A92"/>
    <w:rsid w:val="001E348E"/>
    <w:rsid w:val="001E4042"/>
    <w:rsid w:val="001E43F5"/>
    <w:rsid w:val="001E45C0"/>
    <w:rsid w:val="001E5BB1"/>
    <w:rsid w:val="001E607B"/>
    <w:rsid w:val="001E695F"/>
    <w:rsid w:val="001E6C47"/>
    <w:rsid w:val="001E6DDF"/>
    <w:rsid w:val="001E6E01"/>
    <w:rsid w:val="001E776B"/>
    <w:rsid w:val="001E797A"/>
    <w:rsid w:val="001E7C00"/>
    <w:rsid w:val="001F0614"/>
    <w:rsid w:val="001F0919"/>
    <w:rsid w:val="001F0C17"/>
    <w:rsid w:val="001F1138"/>
    <w:rsid w:val="001F13F9"/>
    <w:rsid w:val="001F3269"/>
    <w:rsid w:val="001F3FD1"/>
    <w:rsid w:val="001F4CAF"/>
    <w:rsid w:val="001F63EF"/>
    <w:rsid w:val="001F6E57"/>
    <w:rsid w:val="001F756E"/>
    <w:rsid w:val="001F7841"/>
    <w:rsid w:val="0020079F"/>
    <w:rsid w:val="00200EEF"/>
    <w:rsid w:val="00200FC5"/>
    <w:rsid w:val="0020124B"/>
    <w:rsid w:val="0020221C"/>
    <w:rsid w:val="00203881"/>
    <w:rsid w:val="002038B6"/>
    <w:rsid w:val="00203E86"/>
    <w:rsid w:val="002040A2"/>
    <w:rsid w:val="00204919"/>
    <w:rsid w:val="002049AC"/>
    <w:rsid w:val="002049FA"/>
    <w:rsid w:val="0020526C"/>
    <w:rsid w:val="00205439"/>
    <w:rsid w:val="0020552E"/>
    <w:rsid w:val="00206469"/>
    <w:rsid w:val="00206497"/>
    <w:rsid w:val="00206709"/>
    <w:rsid w:val="00206E71"/>
    <w:rsid w:val="00207047"/>
    <w:rsid w:val="00207884"/>
    <w:rsid w:val="00207ED4"/>
    <w:rsid w:val="002104DE"/>
    <w:rsid w:val="0021118A"/>
    <w:rsid w:val="0021208C"/>
    <w:rsid w:val="002128CA"/>
    <w:rsid w:val="00214479"/>
    <w:rsid w:val="002144D9"/>
    <w:rsid w:val="0021453A"/>
    <w:rsid w:val="0021455F"/>
    <w:rsid w:val="00214605"/>
    <w:rsid w:val="00214C3D"/>
    <w:rsid w:val="00215150"/>
    <w:rsid w:val="00215766"/>
    <w:rsid w:val="00215C36"/>
    <w:rsid w:val="00217A10"/>
    <w:rsid w:val="0022030C"/>
    <w:rsid w:val="002221C0"/>
    <w:rsid w:val="0022283D"/>
    <w:rsid w:val="0022291B"/>
    <w:rsid w:val="00222B47"/>
    <w:rsid w:val="00223156"/>
    <w:rsid w:val="00224008"/>
    <w:rsid w:val="00224DCE"/>
    <w:rsid w:val="00225873"/>
    <w:rsid w:val="002268AC"/>
    <w:rsid w:val="002270C0"/>
    <w:rsid w:val="00227841"/>
    <w:rsid w:val="00230B63"/>
    <w:rsid w:val="00231A99"/>
    <w:rsid w:val="00232336"/>
    <w:rsid w:val="00232473"/>
    <w:rsid w:val="00232EF1"/>
    <w:rsid w:val="00232FA7"/>
    <w:rsid w:val="00234371"/>
    <w:rsid w:val="002344F9"/>
    <w:rsid w:val="002347F4"/>
    <w:rsid w:val="002348DE"/>
    <w:rsid w:val="00235355"/>
    <w:rsid w:val="00235647"/>
    <w:rsid w:val="00236547"/>
    <w:rsid w:val="002366D5"/>
    <w:rsid w:val="00236852"/>
    <w:rsid w:val="00237974"/>
    <w:rsid w:val="00240FBA"/>
    <w:rsid w:val="002422A6"/>
    <w:rsid w:val="00242C3C"/>
    <w:rsid w:val="00242E35"/>
    <w:rsid w:val="0024322C"/>
    <w:rsid w:val="002449CC"/>
    <w:rsid w:val="002452A8"/>
    <w:rsid w:val="00245F15"/>
    <w:rsid w:val="00246413"/>
    <w:rsid w:val="00246444"/>
    <w:rsid w:val="002465E4"/>
    <w:rsid w:val="00246CC8"/>
    <w:rsid w:val="002478CA"/>
    <w:rsid w:val="00247993"/>
    <w:rsid w:val="00247D15"/>
    <w:rsid w:val="00250BB4"/>
    <w:rsid w:val="0025158D"/>
    <w:rsid w:val="00251B09"/>
    <w:rsid w:val="0025251E"/>
    <w:rsid w:val="0025281B"/>
    <w:rsid w:val="002528B4"/>
    <w:rsid w:val="00253065"/>
    <w:rsid w:val="0025411A"/>
    <w:rsid w:val="00254BBB"/>
    <w:rsid w:val="002553E3"/>
    <w:rsid w:val="002553ED"/>
    <w:rsid w:val="002563F7"/>
    <w:rsid w:val="00256BAC"/>
    <w:rsid w:val="002577C1"/>
    <w:rsid w:val="002578AB"/>
    <w:rsid w:val="00257941"/>
    <w:rsid w:val="00257A26"/>
    <w:rsid w:val="0026082A"/>
    <w:rsid w:val="00260831"/>
    <w:rsid w:val="0026093F"/>
    <w:rsid w:val="002624A3"/>
    <w:rsid w:val="00263575"/>
    <w:rsid w:val="00263922"/>
    <w:rsid w:val="00263B1A"/>
    <w:rsid w:val="002643EE"/>
    <w:rsid w:val="00264C0D"/>
    <w:rsid w:val="00265DE7"/>
    <w:rsid w:val="0026739F"/>
    <w:rsid w:val="002677C3"/>
    <w:rsid w:val="00267B74"/>
    <w:rsid w:val="00270896"/>
    <w:rsid w:val="00270E52"/>
    <w:rsid w:val="00271539"/>
    <w:rsid w:val="002717FC"/>
    <w:rsid w:val="00272301"/>
    <w:rsid w:val="0027374D"/>
    <w:rsid w:val="00273751"/>
    <w:rsid w:val="002770FF"/>
    <w:rsid w:val="00277D99"/>
    <w:rsid w:val="00277F33"/>
    <w:rsid w:val="002801A8"/>
    <w:rsid w:val="0028046D"/>
    <w:rsid w:val="00281669"/>
    <w:rsid w:val="00281765"/>
    <w:rsid w:val="002823E8"/>
    <w:rsid w:val="00283017"/>
    <w:rsid w:val="00283057"/>
    <w:rsid w:val="00284393"/>
    <w:rsid w:val="00284EB9"/>
    <w:rsid w:val="0028538A"/>
    <w:rsid w:val="002854D4"/>
    <w:rsid w:val="00285ED3"/>
    <w:rsid w:val="0028680C"/>
    <w:rsid w:val="00286C5D"/>
    <w:rsid w:val="002879FB"/>
    <w:rsid w:val="00287BF3"/>
    <w:rsid w:val="00287E99"/>
    <w:rsid w:val="002904C0"/>
    <w:rsid w:val="00290FC1"/>
    <w:rsid w:val="002911E8"/>
    <w:rsid w:val="00291527"/>
    <w:rsid w:val="002918D0"/>
    <w:rsid w:val="00291A57"/>
    <w:rsid w:val="00291AD3"/>
    <w:rsid w:val="00291F92"/>
    <w:rsid w:val="002920F3"/>
    <w:rsid w:val="00292397"/>
    <w:rsid w:val="00292814"/>
    <w:rsid w:val="00292B0F"/>
    <w:rsid w:val="0029315E"/>
    <w:rsid w:val="0029344A"/>
    <w:rsid w:val="00293547"/>
    <w:rsid w:val="0029378C"/>
    <w:rsid w:val="00293896"/>
    <w:rsid w:val="00293D69"/>
    <w:rsid w:val="00294002"/>
    <w:rsid w:val="002947EF"/>
    <w:rsid w:val="00295754"/>
    <w:rsid w:val="00295F52"/>
    <w:rsid w:val="00296532"/>
    <w:rsid w:val="002A03CD"/>
    <w:rsid w:val="002A13D1"/>
    <w:rsid w:val="002A2A89"/>
    <w:rsid w:val="002A365F"/>
    <w:rsid w:val="002A48BC"/>
    <w:rsid w:val="002A4F99"/>
    <w:rsid w:val="002A50FB"/>
    <w:rsid w:val="002A5374"/>
    <w:rsid w:val="002A6230"/>
    <w:rsid w:val="002A6B66"/>
    <w:rsid w:val="002B0363"/>
    <w:rsid w:val="002B150D"/>
    <w:rsid w:val="002B151B"/>
    <w:rsid w:val="002B15F5"/>
    <w:rsid w:val="002B164A"/>
    <w:rsid w:val="002B3043"/>
    <w:rsid w:val="002B4228"/>
    <w:rsid w:val="002B461E"/>
    <w:rsid w:val="002B47D6"/>
    <w:rsid w:val="002B4DE5"/>
    <w:rsid w:val="002B4EFE"/>
    <w:rsid w:val="002B5021"/>
    <w:rsid w:val="002B6C6C"/>
    <w:rsid w:val="002B7080"/>
    <w:rsid w:val="002C08A8"/>
    <w:rsid w:val="002C1296"/>
    <w:rsid w:val="002C16A2"/>
    <w:rsid w:val="002C1ABE"/>
    <w:rsid w:val="002C24A4"/>
    <w:rsid w:val="002C34F3"/>
    <w:rsid w:val="002C3CBD"/>
    <w:rsid w:val="002C402F"/>
    <w:rsid w:val="002C4619"/>
    <w:rsid w:val="002C5796"/>
    <w:rsid w:val="002C6198"/>
    <w:rsid w:val="002C681F"/>
    <w:rsid w:val="002C6E98"/>
    <w:rsid w:val="002C7318"/>
    <w:rsid w:val="002C7B9B"/>
    <w:rsid w:val="002C7D55"/>
    <w:rsid w:val="002C7FF9"/>
    <w:rsid w:val="002D01B4"/>
    <w:rsid w:val="002D0D53"/>
    <w:rsid w:val="002D180E"/>
    <w:rsid w:val="002D1C35"/>
    <w:rsid w:val="002D4E2B"/>
    <w:rsid w:val="002D57BA"/>
    <w:rsid w:val="002D5B4C"/>
    <w:rsid w:val="002D5C87"/>
    <w:rsid w:val="002D6F49"/>
    <w:rsid w:val="002D7446"/>
    <w:rsid w:val="002E15F5"/>
    <w:rsid w:val="002E28E5"/>
    <w:rsid w:val="002E379A"/>
    <w:rsid w:val="002E4B30"/>
    <w:rsid w:val="002E559B"/>
    <w:rsid w:val="002E56AF"/>
    <w:rsid w:val="002E637E"/>
    <w:rsid w:val="002E6CBC"/>
    <w:rsid w:val="002E6DE3"/>
    <w:rsid w:val="002E73C7"/>
    <w:rsid w:val="002E7AB4"/>
    <w:rsid w:val="002F0272"/>
    <w:rsid w:val="002F068F"/>
    <w:rsid w:val="002F07AE"/>
    <w:rsid w:val="002F10E5"/>
    <w:rsid w:val="002F2E24"/>
    <w:rsid w:val="002F33C8"/>
    <w:rsid w:val="002F3BBE"/>
    <w:rsid w:val="002F4591"/>
    <w:rsid w:val="002F731A"/>
    <w:rsid w:val="002F7927"/>
    <w:rsid w:val="003003F8"/>
    <w:rsid w:val="0030190B"/>
    <w:rsid w:val="003032B0"/>
    <w:rsid w:val="00303763"/>
    <w:rsid w:val="00303CB6"/>
    <w:rsid w:val="0030498C"/>
    <w:rsid w:val="00306577"/>
    <w:rsid w:val="003073DB"/>
    <w:rsid w:val="0030797B"/>
    <w:rsid w:val="00307B66"/>
    <w:rsid w:val="00307FEB"/>
    <w:rsid w:val="00307FF3"/>
    <w:rsid w:val="003103DC"/>
    <w:rsid w:val="00310AFD"/>
    <w:rsid w:val="00310EA6"/>
    <w:rsid w:val="003113A0"/>
    <w:rsid w:val="003117E7"/>
    <w:rsid w:val="0031323B"/>
    <w:rsid w:val="00313443"/>
    <w:rsid w:val="00313AD0"/>
    <w:rsid w:val="003140E9"/>
    <w:rsid w:val="003146BE"/>
    <w:rsid w:val="00314813"/>
    <w:rsid w:val="00314866"/>
    <w:rsid w:val="00316301"/>
    <w:rsid w:val="00316AA0"/>
    <w:rsid w:val="003176E8"/>
    <w:rsid w:val="00317AFE"/>
    <w:rsid w:val="0032075D"/>
    <w:rsid w:val="00321267"/>
    <w:rsid w:val="003214AF"/>
    <w:rsid w:val="003215C3"/>
    <w:rsid w:val="00321780"/>
    <w:rsid w:val="00321F90"/>
    <w:rsid w:val="00322160"/>
    <w:rsid w:val="00322F73"/>
    <w:rsid w:val="003232DD"/>
    <w:rsid w:val="003234B4"/>
    <w:rsid w:val="00323A7C"/>
    <w:rsid w:val="00324436"/>
    <w:rsid w:val="0032444F"/>
    <w:rsid w:val="003246F8"/>
    <w:rsid w:val="00324719"/>
    <w:rsid w:val="00324B3E"/>
    <w:rsid w:val="00324F4F"/>
    <w:rsid w:val="00325427"/>
    <w:rsid w:val="003259F6"/>
    <w:rsid w:val="00325C1A"/>
    <w:rsid w:val="003263CA"/>
    <w:rsid w:val="0032765F"/>
    <w:rsid w:val="003279A3"/>
    <w:rsid w:val="00327AAF"/>
    <w:rsid w:val="00327B59"/>
    <w:rsid w:val="00331031"/>
    <w:rsid w:val="003318C3"/>
    <w:rsid w:val="00331A09"/>
    <w:rsid w:val="003320D2"/>
    <w:rsid w:val="00333348"/>
    <w:rsid w:val="003340CB"/>
    <w:rsid w:val="003345A7"/>
    <w:rsid w:val="00334CF6"/>
    <w:rsid w:val="00335793"/>
    <w:rsid w:val="00335C38"/>
    <w:rsid w:val="0033605E"/>
    <w:rsid w:val="00336191"/>
    <w:rsid w:val="00336AE2"/>
    <w:rsid w:val="00336DF3"/>
    <w:rsid w:val="0033711A"/>
    <w:rsid w:val="003379AB"/>
    <w:rsid w:val="00337E7C"/>
    <w:rsid w:val="003424A5"/>
    <w:rsid w:val="003425EC"/>
    <w:rsid w:val="00342989"/>
    <w:rsid w:val="00343096"/>
    <w:rsid w:val="0034662A"/>
    <w:rsid w:val="00346FAA"/>
    <w:rsid w:val="00347346"/>
    <w:rsid w:val="00350C7B"/>
    <w:rsid w:val="003522F7"/>
    <w:rsid w:val="00352E87"/>
    <w:rsid w:val="0035347E"/>
    <w:rsid w:val="00353B9A"/>
    <w:rsid w:val="00353C76"/>
    <w:rsid w:val="003540E2"/>
    <w:rsid w:val="0035544C"/>
    <w:rsid w:val="00355671"/>
    <w:rsid w:val="00355C22"/>
    <w:rsid w:val="003570B1"/>
    <w:rsid w:val="00357607"/>
    <w:rsid w:val="00360115"/>
    <w:rsid w:val="003607C5"/>
    <w:rsid w:val="00360814"/>
    <w:rsid w:val="00361D94"/>
    <w:rsid w:val="00362705"/>
    <w:rsid w:val="00364995"/>
    <w:rsid w:val="003657DE"/>
    <w:rsid w:val="00365A55"/>
    <w:rsid w:val="003669C2"/>
    <w:rsid w:val="00366CC0"/>
    <w:rsid w:val="003670CE"/>
    <w:rsid w:val="00367872"/>
    <w:rsid w:val="00367A53"/>
    <w:rsid w:val="0037011B"/>
    <w:rsid w:val="003707FF"/>
    <w:rsid w:val="00370873"/>
    <w:rsid w:val="00370C40"/>
    <w:rsid w:val="00371391"/>
    <w:rsid w:val="00371FCC"/>
    <w:rsid w:val="00372D81"/>
    <w:rsid w:val="00372DEC"/>
    <w:rsid w:val="00375179"/>
    <w:rsid w:val="00375EFD"/>
    <w:rsid w:val="00375FA1"/>
    <w:rsid w:val="00376670"/>
    <w:rsid w:val="0037725B"/>
    <w:rsid w:val="0038047F"/>
    <w:rsid w:val="00381192"/>
    <w:rsid w:val="0038138F"/>
    <w:rsid w:val="00381957"/>
    <w:rsid w:val="0038224B"/>
    <w:rsid w:val="003822E4"/>
    <w:rsid w:val="003831BC"/>
    <w:rsid w:val="0038332C"/>
    <w:rsid w:val="00383CAA"/>
    <w:rsid w:val="00385A22"/>
    <w:rsid w:val="00385E56"/>
    <w:rsid w:val="003863F9"/>
    <w:rsid w:val="00386839"/>
    <w:rsid w:val="0038695F"/>
    <w:rsid w:val="00391643"/>
    <w:rsid w:val="0039178F"/>
    <w:rsid w:val="003919EE"/>
    <w:rsid w:val="00391E84"/>
    <w:rsid w:val="00392810"/>
    <w:rsid w:val="003935E2"/>
    <w:rsid w:val="003947FD"/>
    <w:rsid w:val="00396A27"/>
    <w:rsid w:val="00396A2E"/>
    <w:rsid w:val="003A076E"/>
    <w:rsid w:val="003A0850"/>
    <w:rsid w:val="003A11ED"/>
    <w:rsid w:val="003A1A10"/>
    <w:rsid w:val="003A1B56"/>
    <w:rsid w:val="003A216A"/>
    <w:rsid w:val="003A2AA6"/>
    <w:rsid w:val="003A4256"/>
    <w:rsid w:val="003A4EFF"/>
    <w:rsid w:val="003A5D38"/>
    <w:rsid w:val="003A5E08"/>
    <w:rsid w:val="003A65FD"/>
    <w:rsid w:val="003A6891"/>
    <w:rsid w:val="003B0366"/>
    <w:rsid w:val="003B0506"/>
    <w:rsid w:val="003B0846"/>
    <w:rsid w:val="003B09A8"/>
    <w:rsid w:val="003B11A9"/>
    <w:rsid w:val="003B28DF"/>
    <w:rsid w:val="003B38AF"/>
    <w:rsid w:val="003B38EA"/>
    <w:rsid w:val="003B3FC5"/>
    <w:rsid w:val="003B508C"/>
    <w:rsid w:val="003B64B4"/>
    <w:rsid w:val="003B65D5"/>
    <w:rsid w:val="003B662D"/>
    <w:rsid w:val="003B691E"/>
    <w:rsid w:val="003B6FB2"/>
    <w:rsid w:val="003C0E99"/>
    <w:rsid w:val="003C117E"/>
    <w:rsid w:val="003C1181"/>
    <w:rsid w:val="003C135E"/>
    <w:rsid w:val="003C164A"/>
    <w:rsid w:val="003C17C7"/>
    <w:rsid w:val="003C1B81"/>
    <w:rsid w:val="003C24FD"/>
    <w:rsid w:val="003C2B79"/>
    <w:rsid w:val="003C450E"/>
    <w:rsid w:val="003C4AF1"/>
    <w:rsid w:val="003C4ED8"/>
    <w:rsid w:val="003C6026"/>
    <w:rsid w:val="003C6896"/>
    <w:rsid w:val="003C6BC1"/>
    <w:rsid w:val="003C7913"/>
    <w:rsid w:val="003C79B2"/>
    <w:rsid w:val="003D000C"/>
    <w:rsid w:val="003D04E8"/>
    <w:rsid w:val="003D1035"/>
    <w:rsid w:val="003D1088"/>
    <w:rsid w:val="003D2014"/>
    <w:rsid w:val="003D2C11"/>
    <w:rsid w:val="003D342C"/>
    <w:rsid w:val="003D3924"/>
    <w:rsid w:val="003D3E88"/>
    <w:rsid w:val="003D41C9"/>
    <w:rsid w:val="003D5785"/>
    <w:rsid w:val="003D59DB"/>
    <w:rsid w:val="003D6757"/>
    <w:rsid w:val="003D694C"/>
    <w:rsid w:val="003E013D"/>
    <w:rsid w:val="003E0198"/>
    <w:rsid w:val="003E0B0E"/>
    <w:rsid w:val="003E1020"/>
    <w:rsid w:val="003E117E"/>
    <w:rsid w:val="003E1D6F"/>
    <w:rsid w:val="003E25B9"/>
    <w:rsid w:val="003E3215"/>
    <w:rsid w:val="003E3B40"/>
    <w:rsid w:val="003E3EA3"/>
    <w:rsid w:val="003E416F"/>
    <w:rsid w:val="003E4574"/>
    <w:rsid w:val="003E48C8"/>
    <w:rsid w:val="003E4AA8"/>
    <w:rsid w:val="003E4FB0"/>
    <w:rsid w:val="003E5AF4"/>
    <w:rsid w:val="003E695C"/>
    <w:rsid w:val="003E76BC"/>
    <w:rsid w:val="003F0593"/>
    <w:rsid w:val="003F0BA4"/>
    <w:rsid w:val="003F0DFE"/>
    <w:rsid w:val="003F1CE4"/>
    <w:rsid w:val="003F1E4D"/>
    <w:rsid w:val="003F2FE4"/>
    <w:rsid w:val="003F373B"/>
    <w:rsid w:val="003F43F4"/>
    <w:rsid w:val="003F4F34"/>
    <w:rsid w:val="003F5548"/>
    <w:rsid w:val="003F60D6"/>
    <w:rsid w:val="003F68D0"/>
    <w:rsid w:val="003F6C42"/>
    <w:rsid w:val="003F6CF1"/>
    <w:rsid w:val="003F7655"/>
    <w:rsid w:val="00400461"/>
    <w:rsid w:val="00401313"/>
    <w:rsid w:val="00401725"/>
    <w:rsid w:val="00401D17"/>
    <w:rsid w:val="00402160"/>
    <w:rsid w:val="00402832"/>
    <w:rsid w:val="004029C6"/>
    <w:rsid w:val="00402D5B"/>
    <w:rsid w:val="00402E8A"/>
    <w:rsid w:val="0040300B"/>
    <w:rsid w:val="004036AE"/>
    <w:rsid w:val="0040396A"/>
    <w:rsid w:val="00404196"/>
    <w:rsid w:val="00404B41"/>
    <w:rsid w:val="00404BF0"/>
    <w:rsid w:val="00404E46"/>
    <w:rsid w:val="00405B3A"/>
    <w:rsid w:val="0040655A"/>
    <w:rsid w:val="00407AE4"/>
    <w:rsid w:val="00407D4A"/>
    <w:rsid w:val="00410373"/>
    <w:rsid w:val="00410522"/>
    <w:rsid w:val="004109B9"/>
    <w:rsid w:val="00411011"/>
    <w:rsid w:val="004118F6"/>
    <w:rsid w:val="00411AA3"/>
    <w:rsid w:val="0041214A"/>
    <w:rsid w:val="00412668"/>
    <w:rsid w:val="00412EEA"/>
    <w:rsid w:val="00413D50"/>
    <w:rsid w:val="00414183"/>
    <w:rsid w:val="00414847"/>
    <w:rsid w:val="00414F4D"/>
    <w:rsid w:val="00415713"/>
    <w:rsid w:val="00415A73"/>
    <w:rsid w:val="00415BC5"/>
    <w:rsid w:val="00415CCD"/>
    <w:rsid w:val="0041651C"/>
    <w:rsid w:val="0041652A"/>
    <w:rsid w:val="00416573"/>
    <w:rsid w:val="00416607"/>
    <w:rsid w:val="00417DE7"/>
    <w:rsid w:val="004210D4"/>
    <w:rsid w:val="00421EE8"/>
    <w:rsid w:val="00423701"/>
    <w:rsid w:val="00424068"/>
    <w:rsid w:val="00424545"/>
    <w:rsid w:val="00424918"/>
    <w:rsid w:val="00425880"/>
    <w:rsid w:val="00425D23"/>
    <w:rsid w:val="004267A6"/>
    <w:rsid w:val="0042712E"/>
    <w:rsid w:val="00427A60"/>
    <w:rsid w:val="004309FF"/>
    <w:rsid w:val="00430AC8"/>
    <w:rsid w:val="00432167"/>
    <w:rsid w:val="00432194"/>
    <w:rsid w:val="004326E8"/>
    <w:rsid w:val="00432B5B"/>
    <w:rsid w:val="00432B91"/>
    <w:rsid w:val="00433AB6"/>
    <w:rsid w:val="004342DF"/>
    <w:rsid w:val="00434390"/>
    <w:rsid w:val="00435699"/>
    <w:rsid w:val="00435A5A"/>
    <w:rsid w:val="00436244"/>
    <w:rsid w:val="00436A43"/>
    <w:rsid w:val="00437F95"/>
    <w:rsid w:val="00440C34"/>
    <w:rsid w:val="00441806"/>
    <w:rsid w:val="00442138"/>
    <w:rsid w:val="00442A37"/>
    <w:rsid w:val="0044371C"/>
    <w:rsid w:val="004437B5"/>
    <w:rsid w:val="0044600F"/>
    <w:rsid w:val="00446040"/>
    <w:rsid w:val="004468CE"/>
    <w:rsid w:val="00450690"/>
    <w:rsid w:val="00452D95"/>
    <w:rsid w:val="0045331F"/>
    <w:rsid w:val="00453A22"/>
    <w:rsid w:val="00453DC2"/>
    <w:rsid w:val="00454300"/>
    <w:rsid w:val="004547B1"/>
    <w:rsid w:val="00454F74"/>
    <w:rsid w:val="00455CA3"/>
    <w:rsid w:val="00456CA1"/>
    <w:rsid w:val="00456F0A"/>
    <w:rsid w:val="0045712D"/>
    <w:rsid w:val="00457209"/>
    <w:rsid w:val="004579B2"/>
    <w:rsid w:val="004579B7"/>
    <w:rsid w:val="004579E3"/>
    <w:rsid w:val="0046016A"/>
    <w:rsid w:val="00460750"/>
    <w:rsid w:val="00460904"/>
    <w:rsid w:val="00461A92"/>
    <w:rsid w:val="00462399"/>
    <w:rsid w:val="00463BEC"/>
    <w:rsid w:val="00464035"/>
    <w:rsid w:val="00464084"/>
    <w:rsid w:val="004641DC"/>
    <w:rsid w:val="004644F6"/>
    <w:rsid w:val="00464AE7"/>
    <w:rsid w:val="00470C37"/>
    <w:rsid w:val="00471779"/>
    <w:rsid w:val="00471C04"/>
    <w:rsid w:val="004725F8"/>
    <w:rsid w:val="0047328D"/>
    <w:rsid w:val="00473B66"/>
    <w:rsid w:val="00473C63"/>
    <w:rsid w:val="00474483"/>
    <w:rsid w:val="0047478F"/>
    <w:rsid w:val="004756FE"/>
    <w:rsid w:val="00476389"/>
    <w:rsid w:val="00476DC4"/>
    <w:rsid w:val="00476F8E"/>
    <w:rsid w:val="004771BD"/>
    <w:rsid w:val="00480B62"/>
    <w:rsid w:val="00482B25"/>
    <w:rsid w:val="00482F00"/>
    <w:rsid w:val="00483BA7"/>
    <w:rsid w:val="00483D91"/>
    <w:rsid w:val="004841B4"/>
    <w:rsid w:val="00484B13"/>
    <w:rsid w:val="00484FB0"/>
    <w:rsid w:val="00484FF1"/>
    <w:rsid w:val="004850F6"/>
    <w:rsid w:val="004858D3"/>
    <w:rsid w:val="00485CC4"/>
    <w:rsid w:val="00485E93"/>
    <w:rsid w:val="00485FE6"/>
    <w:rsid w:val="004862B0"/>
    <w:rsid w:val="00486B6B"/>
    <w:rsid w:val="00486E02"/>
    <w:rsid w:val="0048715E"/>
    <w:rsid w:val="00487210"/>
    <w:rsid w:val="0048750D"/>
    <w:rsid w:val="00487DD2"/>
    <w:rsid w:val="0049060C"/>
    <w:rsid w:val="00490E52"/>
    <w:rsid w:val="00490EC8"/>
    <w:rsid w:val="004910F7"/>
    <w:rsid w:val="004913C3"/>
    <w:rsid w:val="0049171F"/>
    <w:rsid w:val="00492D04"/>
    <w:rsid w:val="00493D38"/>
    <w:rsid w:val="0049485B"/>
    <w:rsid w:val="004954BD"/>
    <w:rsid w:val="00496A29"/>
    <w:rsid w:val="004978D8"/>
    <w:rsid w:val="00497BCF"/>
    <w:rsid w:val="004A05B8"/>
    <w:rsid w:val="004A08F0"/>
    <w:rsid w:val="004A0A7B"/>
    <w:rsid w:val="004A0ABE"/>
    <w:rsid w:val="004A23C3"/>
    <w:rsid w:val="004A2640"/>
    <w:rsid w:val="004A29BD"/>
    <w:rsid w:val="004A2C0B"/>
    <w:rsid w:val="004A2DCA"/>
    <w:rsid w:val="004A3745"/>
    <w:rsid w:val="004A4C14"/>
    <w:rsid w:val="004A52C1"/>
    <w:rsid w:val="004A716C"/>
    <w:rsid w:val="004A7577"/>
    <w:rsid w:val="004A7E6B"/>
    <w:rsid w:val="004A7EB9"/>
    <w:rsid w:val="004B0A5D"/>
    <w:rsid w:val="004B2C08"/>
    <w:rsid w:val="004B3383"/>
    <w:rsid w:val="004B3604"/>
    <w:rsid w:val="004B3CB9"/>
    <w:rsid w:val="004B463B"/>
    <w:rsid w:val="004B47C7"/>
    <w:rsid w:val="004B5503"/>
    <w:rsid w:val="004B5864"/>
    <w:rsid w:val="004B7C61"/>
    <w:rsid w:val="004B7DFA"/>
    <w:rsid w:val="004C003C"/>
    <w:rsid w:val="004C02A6"/>
    <w:rsid w:val="004C0BAA"/>
    <w:rsid w:val="004C0F82"/>
    <w:rsid w:val="004C110D"/>
    <w:rsid w:val="004C23E2"/>
    <w:rsid w:val="004C287D"/>
    <w:rsid w:val="004C2E30"/>
    <w:rsid w:val="004C3B67"/>
    <w:rsid w:val="004C4443"/>
    <w:rsid w:val="004C5452"/>
    <w:rsid w:val="004C6717"/>
    <w:rsid w:val="004C71F1"/>
    <w:rsid w:val="004C75DB"/>
    <w:rsid w:val="004C7743"/>
    <w:rsid w:val="004C7F3C"/>
    <w:rsid w:val="004D0D81"/>
    <w:rsid w:val="004D1C6C"/>
    <w:rsid w:val="004D1CE7"/>
    <w:rsid w:val="004D2A1E"/>
    <w:rsid w:val="004D471E"/>
    <w:rsid w:val="004D4957"/>
    <w:rsid w:val="004D4B57"/>
    <w:rsid w:val="004D51DC"/>
    <w:rsid w:val="004D6AF5"/>
    <w:rsid w:val="004D6C26"/>
    <w:rsid w:val="004D7368"/>
    <w:rsid w:val="004D73BE"/>
    <w:rsid w:val="004D766A"/>
    <w:rsid w:val="004D76CA"/>
    <w:rsid w:val="004D783B"/>
    <w:rsid w:val="004D7CCA"/>
    <w:rsid w:val="004E02BF"/>
    <w:rsid w:val="004E0A74"/>
    <w:rsid w:val="004E145A"/>
    <w:rsid w:val="004E1B81"/>
    <w:rsid w:val="004E1E4F"/>
    <w:rsid w:val="004E2331"/>
    <w:rsid w:val="004E3121"/>
    <w:rsid w:val="004E357B"/>
    <w:rsid w:val="004E36BB"/>
    <w:rsid w:val="004E3705"/>
    <w:rsid w:val="004E39F3"/>
    <w:rsid w:val="004E3A54"/>
    <w:rsid w:val="004E4100"/>
    <w:rsid w:val="004E4479"/>
    <w:rsid w:val="004E5A0C"/>
    <w:rsid w:val="004E5CCC"/>
    <w:rsid w:val="004E6661"/>
    <w:rsid w:val="004E6DB0"/>
    <w:rsid w:val="004E6F0E"/>
    <w:rsid w:val="004E7824"/>
    <w:rsid w:val="004F0180"/>
    <w:rsid w:val="004F0D8E"/>
    <w:rsid w:val="004F0D9C"/>
    <w:rsid w:val="004F1793"/>
    <w:rsid w:val="004F1830"/>
    <w:rsid w:val="004F1AE7"/>
    <w:rsid w:val="004F1D16"/>
    <w:rsid w:val="004F2BF0"/>
    <w:rsid w:val="004F3509"/>
    <w:rsid w:val="004F3A4B"/>
    <w:rsid w:val="004F432C"/>
    <w:rsid w:val="004F4656"/>
    <w:rsid w:val="004F4D72"/>
    <w:rsid w:val="004F4DD9"/>
    <w:rsid w:val="004F54CB"/>
    <w:rsid w:val="004F59F1"/>
    <w:rsid w:val="004F64F5"/>
    <w:rsid w:val="004F6BE4"/>
    <w:rsid w:val="004F6EA7"/>
    <w:rsid w:val="004F7CBC"/>
    <w:rsid w:val="00500EE9"/>
    <w:rsid w:val="00501D1F"/>
    <w:rsid w:val="0050221F"/>
    <w:rsid w:val="00502645"/>
    <w:rsid w:val="00502857"/>
    <w:rsid w:val="00502C8C"/>
    <w:rsid w:val="0050565A"/>
    <w:rsid w:val="00505F28"/>
    <w:rsid w:val="005063CC"/>
    <w:rsid w:val="005063F3"/>
    <w:rsid w:val="0050721C"/>
    <w:rsid w:val="00507D8A"/>
    <w:rsid w:val="0051013D"/>
    <w:rsid w:val="00510191"/>
    <w:rsid w:val="0051043B"/>
    <w:rsid w:val="00510889"/>
    <w:rsid w:val="00510BC7"/>
    <w:rsid w:val="005112EE"/>
    <w:rsid w:val="00511788"/>
    <w:rsid w:val="00512DCC"/>
    <w:rsid w:val="005142A6"/>
    <w:rsid w:val="00515A7C"/>
    <w:rsid w:val="00516325"/>
    <w:rsid w:val="00516662"/>
    <w:rsid w:val="00516EFB"/>
    <w:rsid w:val="005170B6"/>
    <w:rsid w:val="005202D8"/>
    <w:rsid w:val="00520A78"/>
    <w:rsid w:val="00520B08"/>
    <w:rsid w:val="00520E38"/>
    <w:rsid w:val="005216C2"/>
    <w:rsid w:val="00522027"/>
    <w:rsid w:val="0052258B"/>
    <w:rsid w:val="005232A4"/>
    <w:rsid w:val="00523341"/>
    <w:rsid w:val="00523CEA"/>
    <w:rsid w:val="00524386"/>
    <w:rsid w:val="00524767"/>
    <w:rsid w:val="0052535E"/>
    <w:rsid w:val="00525700"/>
    <w:rsid w:val="005257C3"/>
    <w:rsid w:val="00526992"/>
    <w:rsid w:val="00527351"/>
    <w:rsid w:val="00527901"/>
    <w:rsid w:val="0053061D"/>
    <w:rsid w:val="00530BF0"/>
    <w:rsid w:val="00531555"/>
    <w:rsid w:val="00531BDB"/>
    <w:rsid w:val="005332C2"/>
    <w:rsid w:val="00533686"/>
    <w:rsid w:val="005337D7"/>
    <w:rsid w:val="00533984"/>
    <w:rsid w:val="005340D9"/>
    <w:rsid w:val="005341B2"/>
    <w:rsid w:val="00534AA6"/>
    <w:rsid w:val="00534F77"/>
    <w:rsid w:val="00535296"/>
    <w:rsid w:val="00535EFD"/>
    <w:rsid w:val="00536BE9"/>
    <w:rsid w:val="00537917"/>
    <w:rsid w:val="00540514"/>
    <w:rsid w:val="005405EC"/>
    <w:rsid w:val="00541582"/>
    <w:rsid w:val="00541A4E"/>
    <w:rsid w:val="00542527"/>
    <w:rsid w:val="00542D7D"/>
    <w:rsid w:val="00542DD6"/>
    <w:rsid w:val="00543020"/>
    <w:rsid w:val="00543775"/>
    <w:rsid w:val="0054381B"/>
    <w:rsid w:val="005439F9"/>
    <w:rsid w:val="00543A57"/>
    <w:rsid w:val="00544579"/>
    <w:rsid w:val="00544B6C"/>
    <w:rsid w:val="00544C77"/>
    <w:rsid w:val="0054606D"/>
    <w:rsid w:val="005460D5"/>
    <w:rsid w:val="0054612D"/>
    <w:rsid w:val="005464D7"/>
    <w:rsid w:val="00547BA8"/>
    <w:rsid w:val="00547CE9"/>
    <w:rsid w:val="00550171"/>
    <w:rsid w:val="005502F8"/>
    <w:rsid w:val="0055060E"/>
    <w:rsid w:val="00551648"/>
    <w:rsid w:val="005518D2"/>
    <w:rsid w:val="00552171"/>
    <w:rsid w:val="005533A5"/>
    <w:rsid w:val="00553A89"/>
    <w:rsid w:val="0055487B"/>
    <w:rsid w:val="00554ADA"/>
    <w:rsid w:val="00554EC1"/>
    <w:rsid w:val="00555678"/>
    <w:rsid w:val="005559B5"/>
    <w:rsid w:val="00555B10"/>
    <w:rsid w:val="005565C3"/>
    <w:rsid w:val="00556661"/>
    <w:rsid w:val="00556D64"/>
    <w:rsid w:val="005570D7"/>
    <w:rsid w:val="0055796A"/>
    <w:rsid w:val="00557B47"/>
    <w:rsid w:val="00561238"/>
    <w:rsid w:val="0056273B"/>
    <w:rsid w:val="0056275F"/>
    <w:rsid w:val="00562858"/>
    <w:rsid w:val="005632E5"/>
    <w:rsid w:val="00563A8D"/>
    <w:rsid w:val="00564697"/>
    <w:rsid w:val="00564A86"/>
    <w:rsid w:val="00564C98"/>
    <w:rsid w:val="0056522D"/>
    <w:rsid w:val="0056552E"/>
    <w:rsid w:val="005656EE"/>
    <w:rsid w:val="005658E8"/>
    <w:rsid w:val="005659B7"/>
    <w:rsid w:val="005664EC"/>
    <w:rsid w:val="00567317"/>
    <w:rsid w:val="005678EC"/>
    <w:rsid w:val="00567DAA"/>
    <w:rsid w:val="00567FA9"/>
    <w:rsid w:val="00570D76"/>
    <w:rsid w:val="005716D6"/>
    <w:rsid w:val="005719A7"/>
    <w:rsid w:val="00572086"/>
    <w:rsid w:val="0057257C"/>
    <w:rsid w:val="00572AFF"/>
    <w:rsid w:val="005737BC"/>
    <w:rsid w:val="0057398B"/>
    <w:rsid w:val="0057455F"/>
    <w:rsid w:val="00574C54"/>
    <w:rsid w:val="00575376"/>
    <w:rsid w:val="005756E1"/>
    <w:rsid w:val="005759EB"/>
    <w:rsid w:val="00575CDF"/>
    <w:rsid w:val="005763BE"/>
    <w:rsid w:val="00576F97"/>
    <w:rsid w:val="005800C0"/>
    <w:rsid w:val="00580A7D"/>
    <w:rsid w:val="00582492"/>
    <w:rsid w:val="00583444"/>
    <w:rsid w:val="00583752"/>
    <w:rsid w:val="0058380B"/>
    <w:rsid w:val="00584223"/>
    <w:rsid w:val="005842EA"/>
    <w:rsid w:val="00584648"/>
    <w:rsid w:val="00585AC8"/>
    <w:rsid w:val="00585FF9"/>
    <w:rsid w:val="00586262"/>
    <w:rsid w:val="0058717D"/>
    <w:rsid w:val="005873B4"/>
    <w:rsid w:val="0058787C"/>
    <w:rsid w:val="00587970"/>
    <w:rsid w:val="00590239"/>
    <w:rsid w:val="005905B6"/>
    <w:rsid w:val="00590806"/>
    <w:rsid w:val="00590FA2"/>
    <w:rsid w:val="00591079"/>
    <w:rsid w:val="00591324"/>
    <w:rsid w:val="005914D4"/>
    <w:rsid w:val="00591745"/>
    <w:rsid w:val="00591C1F"/>
    <w:rsid w:val="00591DBF"/>
    <w:rsid w:val="00592ABF"/>
    <w:rsid w:val="00593444"/>
    <w:rsid w:val="005938F1"/>
    <w:rsid w:val="00593FA3"/>
    <w:rsid w:val="005946E0"/>
    <w:rsid w:val="00594881"/>
    <w:rsid w:val="005953B1"/>
    <w:rsid w:val="00595CAE"/>
    <w:rsid w:val="00595F78"/>
    <w:rsid w:val="005967C5"/>
    <w:rsid w:val="0059689F"/>
    <w:rsid w:val="00596A8D"/>
    <w:rsid w:val="00596DC2"/>
    <w:rsid w:val="00597262"/>
    <w:rsid w:val="00597722"/>
    <w:rsid w:val="00597A30"/>
    <w:rsid w:val="005A0090"/>
    <w:rsid w:val="005A11F6"/>
    <w:rsid w:val="005A27A7"/>
    <w:rsid w:val="005A2D97"/>
    <w:rsid w:val="005A2E5F"/>
    <w:rsid w:val="005A34F9"/>
    <w:rsid w:val="005A3B1A"/>
    <w:rsid w:val="005A43D0"/>
    <w:rsid w:val="005A4B6F"/>
    <w:rsid w:val="005A4C47"/>
    <w:rsid w:val="005A5332"/>
    <w:rsid w:val="005A5516"/>
    <w:rsid w:val="005A56D7"/>
    <w:rsid w:val="005A5ADB"/>
    <w:rsid w:val="005A68FA"/>
    <w:rsid w:val="005A6F72"/>
    <w:rsid w:val="005B028A"/>
    <w:rsid w:val="005B139C"/>
    <w:rsid w:val="005B1F97"/>
    <w:rsid w:val="005B1FAE"/>
    <w:rsid w:val="005B39B2"/>
    <w:rsid w:val="005B525D"/>
    <w:rsid w:val="005B56E8"/>
    <w:rsid w:val="005B59EB"/>
    <w:rsid w:val="005B60B1"/>
    <w:rsid w:val="005B6369"/>
    <w:rsid w:val="005B759F"/>
    <w:rsid w:val="005C0744"/>
    <w:rsid w:val="005C0FFE"/>
    <w:rsid w:val="005C22B0"/>
    <w:rsid w:val="005C235A"/>
    <w:rsid w:val="005C256B"/>
    <w:rsid w:val="005C32F1"/>
    <w:rsid w:val="005C3734"/>
    <w:rsid w:val="005C3851"/>
    <w:rsid w:val="005C4910"/>
    <w:rsid w:val="005C4BE1"/>
    <w:rsid w:val="005C592C"/>
    <w:rsid w:val="005C678E"/>
    <w:rsid w:val="005C6861"/>
    <w:rsid w:val="005C773C"/>
    <w:rsid w:val="005D110C"/>
    <w:rsid w:val="005D117D"/>
    <w:rsid w:val="005D1519"/>
    <w:rsid w:val="005D1940"/>
    <w:rsid w:val="005D2E3D"/>
    <w:rsid w:val="005D4003"/>
    <w:rsid w:val="005D4182"/>
    <w:rsid w:val="005D4257"/>
    <w:rsid w:val="005D4A7D"/>
    <w:rsid w:val="005D4FCC"/>
    <w:rsid w:val="005D560F"/>
    <w:rsid w:val="005D5F52"/>
    <w:rsid w:val="005D68DD"/>
    <w:rsid w:val="005E0E9C"/>
    <w:rsid w:val="005E11BA"/>
    <w:rsid w:val="005E1268"/>
    <w:rsid w:val="005E2846"/>
    <w:rsid w:val="005E2A18"/>
    <w:rsid w:val="005E33DC"/>
    <w:rsid w:val="005E52DD"/>
    <w:rsid w:val="005E5447"/>
    <w:rsid w:val="005E5AA7"/>
    <w:rsid w:val="005E6FCA"/>
    <w:rsid w:val="005E7A53"/>
    <w:rsid w:val="005E7BA9"/>
    <w:rsid w:val="005E7DDD"/>
    <w:rsid w:val="005E7F14"/>
    <w:rsid w:val="005F030F"/>
    <w:rsid w:val="005F068A"/>
    <w:rsid w:val="005F0B21"/>
    <w:rsid w:val="005F0CF1"/>
    <w:rsid w:val="005F1ECB"/>
    <w:rsid w:val="005F2507"/>
    <w:rsid w:val="005F328A"/>
    <w:rsid w:val="005F32A9"/>
    <w:rsid w:val="005F4820"/>
    <w:rsid w:val="005F5039"/>
    <w:rsid w:val="005F52D0"/>
    <w:rsid w:val="005F5381"/>
    <w:rsid w:val="005F5454"/>
    <w:rsid w:val="005F5971"/>
    <w:rsid w:val="005F70CE"/>
    <w:rsid w:val="005F78F8"/>
    <w:rsid w:val="00600EE8"/>
    <w:rsid w:val="0060187B"/>
    <w:rsid w:val="006018CE"/>
    <w:rsid w:val="00601CEC"/>
    <w:rsid w:val="00601E12"/>
    <w:rsid w:val="00602B76"/>
    <w:rsid w:val="0060321A"/>
    <w:rsid w:val="00603B4C"/>
    <w:rsid w:val="00603BD5"/>
    <w:rsid w:val="00604C54"/>
    <w:rsid w:val="006050AB"/>
    <w:rsid w:val="006051FC"/>
    <w:rsid w:val="00606907"/>
    <w:rsid w:val="00606E46"/>
    <w:rsid w:val="00607BA6"/>
    <w:rsid w:val="00610145"/>
    <w:rsid w:val="0061097E"/>
    <w:rsid w:val="00610AE4"/>
    <w:rsid w:val="00611BF1"/>
    <w:rsid w:val="00612419"/>
    <w:rsid w:val="00612840"/>
    <w:rsid w:val="00612DD6"/>
    <w:rsid w:val="00613E66"/>
    <w:rsid w:val="006148F8"/>
    <w:rsid w:val="00614F97"/>
    <w:rsid w:val="00615057"/>
    <w:rsid w:val="00615E2C"/>
    <w:rsid w:val="00616343"/>
    <w:rsid w:val="006164B8"/>
    <w:rsid w:val="00616EDE"/>
    <w:rsid w:val="00620C8C"/>
    <w:rsid w:val="00620E56"/>
    <w:rsid w:val="00621423"/>
    <w:rsid w:val="00621B84"/>
    <w:rsid w:val="00622347"/>
    <w:rsid w:val="006244F7"/>
    <w:rsid w:val="00624CA6"/>
    <w:rsid w:val="00624ED9"/>
    <w:rsid w:val="00626931"/>
    <w:rsid w:val="0062740F"/>
    <w:rsid w:val="00627821"/>
    <w:rsid w:val="00627A09"/>
    <w:rsid w:val="00630121"/>
    <w:rsid w:val="0063064A"/>
    <w:rsid w:val="00630B3B"/>
    <w:rsid w:val="0063102B"/>
    <w:rsid w:val="00632909"/>
    <w:rsid w:val="00632BAB"/>
    <w:rsid w:val="0063352C"/>
    <w:rsid w:val="00633E55"/>
    <w:rsid w:val="00633FDE"/>
    <w:rsid w:val="00634D29"/>
    <w:rsid w:val="00634ED5"/>
    <w:rsid w:val="0063583F"/>
    <w:rsid w:val="00636343"/>
    <w:rsid w:val="0063688C"/>
    <w:rsid w:val="0063735F"/>
    <w:rsid w:val="0063757B"/>
    <w:rsid w:val="00640BE6"/>
    <w:rsid w:val="00641B16"/>
    <w:rsid w:val="00641D11"/>
    <w:rsid w:val="00642870"/>
    <w:rsid w:val="00642913"/>
    <w:rsid w:val="00642F6B"/>
    <w:rsid w:val="00644E76"/>
    <w:rsid w:val="00644F98"/>
    <w:rsid w:val="0064567B"/>
    <w:rsid w:val="00645699"/>
    <w:rsid w:val="00645FE2"/>
    <w:rsid w:val="00646416"/>
    <w:rsid w:val="00646EB7"/>
    <w:rsid w:val="006475C8"/>
    <w:rsid w:val="00647EC7"/>
    <w:rsid w:val="00650A30"/>
    <w:rsid w:val="00651A4B"/>
    <w:rsid w:val="006526A8"/>
    <w:rsid w:val="00653D97"/>
    <w:rsid w:val="00654061"/>
    <w:rsid w:val="006541A3"/>
    <w:rsid w:val="006545D4"/>
    <w:rsid w:val="00656FB8"/>
    <w:rsid w:val="0065754B"/>
    <w:rsid w:val="006576D7"/>
    <w:rsid w:val="00657CA3"/>
    <w:rsid w:val="0066069C"/>
    <w:rsid w:val="00660D6B"/>
    <w:rsid w:val="00660E52"/>
    <w:rsid w:val="006612F8"/>
    <w:rsid w:val="00661AC9"/>
    <w:rsid w:val="00662AEC"/>
    <w:rsid w:val="00662D96"/>
    <w:rsid w:val="00663241"/>
    <w:rsid w:val="00663627"/>
    <w:rsid w:val="00663EBD"/>
    <w:rsid w:val="0066409F"/>
    <w:rsid w:val="00664417"/>
    <w:rsid w:val="00664FFF"/>
    <w:rsid w:val="006663A2"/>
    <w:rsid w:val="00666D1D"/>
    <w:rsid w:val="0066711D"/>
    <w:rsid w:val="00667304"/>
    <w:rsid w:val="006677FB"/>
    <w:rsid w:val="0067012B"/>
    <w:rsid w:val="0067018C"/>
    <w:rsid w:val="00670238"/>
    <w:rsid w:val="00670332"/>
    <w:rsid w:val="00670525"/>
    <w:rsid w:val="006707D7"/>
    <w:rsid w:val="0067093D"/>
    <w:rsid w:val="0067123D"/>
    <w:rsid w:val="0067199F"/>
    <w:rsid w:val="006724B6"/>
    <w:rsid w:val="00672A53"/>
    <w:rsid w:val="00672B53"/>
    <w:rsid w:val="00672E4B"/>
    <w:rsid w:val="00672EE1"/>
    <w:rsid w:val="006734D1"/>
    <w:rsid w:val="00673C95"/>
    <w:rsid w:val="00674238"/>
    <w:rsid w:val="00674B7B"/>
    <w:rsid w:val="00674CEA"/>
    <w:rsid w:val="00675295"/>
    <w:rsid w:val="006752C0"/>
    <w:rsid w:val="006754AF"/>
    <w:rsid w:val="006757E7"/>
    <w:rsid w:val="00675E70"/>
    <w:rsid w:val="00676353"/>
    <w:rsid w:val="0067740D"/>
    <w:rsid w:val="00677D7E"/>
    <w:rsid w:val="00680518"/>
    <w:rsid w:val="00681CD9"/>
    <w:rsid w:val="006822D8"/>
    <w:rsid w:val="006823B4"/>
    <w:rsid w:val="00682E69"/>
    <w:rsid w:val="006837AF"/>
    <w:rsid w:val="006838F9"/>
    <w:rsid w:val="00683F64"/>
    <w:rsid w:val="00684026"/>
    <w:rsid w:val="00684CB7"/>
    <w:rsid w:val="006850AE"/>
    <w:rsid w:val="006862C5"/>
    <w:rsid w:val="00686550"/>
    <w:rsid w:val="006869EC"/>
    <w:rsid w:val="00686A5E"/>
    <w:rsid w:val="00686A65"/>
    <w:rsid w:val="00686C6C"/>
    <w:rsid w:val="00687460"/>
    <w:rsid w:val="00687868"/>
    <w:rsid w:val="00687DA8"/>
    <w:rsid w:val="00687E24"/>
    <w:rsid w:val="006916E3"/>
    <w:rsid w:val="00692030"/>
    <w:rsid w:val="00693AA3"/>
    <w:rsid w:val="00693B90"/>
    <w:rsid w:val="0069458C"/>
    <w:rsid w:val="0069485F"/>
    <w:rsid w:val="006950F0"/>
    <w:rsid w:val="0069562D"/>
    <w:rsid w:val="006959A8"/>
    <w:rsid w:val="0069665C"/>
    <w:rsid w:val="006966D0"/>
    <w:rsid w:val="006969D6"/>
    <w:rsid w:val="0069701B"/>
    <w:rsid w:val="00697BBF"/>
    <w:rsid w:val="00697E36"/>
    <w:rsid w:val="006A0753"/>
    <w:rsid w:val="006A0D4A"/>
    <w:rsid w:val="006A1B1B"/>
    <w:rsid w:val="006A267E"/>
    <w:rsid w:val="006A2F4E"/>
    <w:rsid w:val="006A39DA"/>
    <w:rsid w:val="006A3C7B"/>
    <w:rsid w:val="006A3DA2"/>
    <w:rsid w:val="006A3E49"/>
    <w:rsid w:val="006A44D9"/>
    <w:rsid w:val="006A4D11"/>
    <w:rsid w:val="006A53E3"/>
    <w:rsid w:val="006A5A49"/>
    <w:rsid w:val="006A5B60"/>
    <w:rsid w:val="006A7F37"/>
    <w:rsid w:val="006B0164"/>
    <w:rsid w:val="006B0B7E"/>
    <w:rsid w:val="006B0BCA"/>
    <w:rsid w:val="006B0DD0"/>
    <w:rsid w:val="006B0ED5"/>
    <w:rsid w:val="006B103A"/>
    <w:rsid w:val="006B1A3E"/>
    <w:rsid w:val="006B1A67"/>
    <w:rsid w:val="006B1B39"/>
    <w:rsid w:val="006B1D62"/>
    <w:rsid w:val="006B26D9"/>
    <w:rsid w:val="006B2807"/>
    <w:rsid w:val="006B35FE"/>
    <w:rsid w:val="006B3757"/>
    <w:rsid w:val="006B39D9"/>
    <w:rsid w:val="006B3C19"/>
    <w:rsid w:val="006B3CF2"/>
    <w:rsid w:val="006B42E5"/>
    <w:rsid w:val="006B4E93"/>
    <w:rsid w:val="006B5212"/>
    <w:rsid w:val="006B57EE"/>
    <w:rsid w:val="006B5961"/>
    <w:rsid w:val="006B600A"/>
    <w:rsid w:val="006B6EA8"/>
    <w:rsid w:val="006B7967"/>
    <w:rsid w:val="006B7EA6"/>
    <w:rsid w:val="006B7F47"/>
    <w:rsid w:val="006C07F9"/>
    <w:rsid w:val="006C09DC"/>
    <w:rsid w:val="006C1501"/>
    <w:rsid w:val="006C2369"/>
    <w:rsid w:val="006C2C99"/>
    <w:rsid w:val="006C2E71"/>
    <w:rsid w:val="006C31D1"/>
    <w:rsid w:val="006C35AE"/>
    <w:rsid w:val="006C3946"/>
    <w:rsid w:val="006C3E6F"/>
    <w:rsid w:val="006C45DE"/>
    <w:rsid w:val="006C47CF"/>
    <w:rsid w:val="006C553C"/>
    <w:rsid w:val="006C72A1"/>
    <w:rsid w:val="006C7496"/>
    <w:rsid w:val="006C7C7D"/>
    <w:rsid w:val="006D028D"/>
    <w:rsid w:val="006D1A33"/>
    <w:rsid w:val="006D20DA"/>
    <w:rsid w:val="006D2806"/>
    <w:rsid w:val="006D3178"/>
    <w:rsid w:val="006D332B"/>
    <w:rsid w:val="006D3738"/>
    <w:rsid w:val="006D44E9"/>
    <w:rsid w:val="006D4637"/>
    <w:rsid w:val="006D4AE2"/>
    <w:rsid w:val="006D59AA"/>
    <w:rsid w:val="006D648C"/>
    <w:rsid w:val="006D6567"/>
    <w:rsid w:val="006D68C4"/>
    <w:rsid w:val="006D6B00"/>
    <w:rsid w:val="006D6DFF"/>
    <w:rsid w:val="006D726F"/>
    <w:rsid w:val="006D7D70"/>
    <w:rsid w:val="006E00F4"/>
    <w:rsid w:val="006E1706"/>
    <w:rsid w:val="006E29B4"/>
    <w:rsid w:val="006E3A5B"/>
    <w:rsid w:val="006E3D96"/>
    <w:rsid w:val="006E3DCF"/>
    <w:rsid w:val="006E4D0E"/>
    <w:rsid w:val="006E57A1"/>
    <w:rsid w:val="006E58B1"/>
    <w:rsid w:val="006E5EDC"/>
    <w:rsid w:val="006E61A5"/>
    <w:rsid w:val="006E674E"/>
    <w:rsid w:val="006E6C13"/>
    <w:rsid w:val="006E7CD6"/>
    <w:rsid w:val="006E7DA8"/>
    <w:rsid w:val="006F007E"/>
    <w:rsid w:val="006F0AF3"/>
    <w:rsid w:val="006F166A"/>
    <w:rsid w:val="006F1858"/>
    <w:rsid w:val="006F1CEC"/>
    <w:rsid w:val="006F1D70"/>
    <w:rsid w:val="006F1DFB"/>
    <w:rsid w:val="006F232C"/>
    <w:rsid w:val="006F25A9"/>
    <w:rsid w:val="006F3573"/>
    <w:rsid w:val="006F402B"/>
    <w:rsid w:val="006F4590"/>
    <w:rsid w:val="006F4A70"/>
    <w:rsid w:val="006F4CCA"/>
    <w:rsid w:val="006F5779"/>
    <w:rsid w:val="006F5D2E"/>
    <w:rsid w:val="006F6561"/>
    <w:rsid w:val="006F65F3"/>
    <w:rsid w:val="006F7724"/>
    <w:rsid w:val="006F7845"/>
    <w:rsid w:val="006F7982"/>
    <w:rsid w:val="00700D30"/>
    <w:rsid w:val="00701411"/>
    <w:rsid w:val="007015CF"/>
    <w:rsid w:val="00701DF0"/>
    <w:rsid w:val="00702EB8"/>
    <w:rsid w:val="00702EEB"/>
    <w:rsid w:val="0070314E"/>
    <w:rsid w:val="0070420B"/>
    <w:rsid w:val="00704354"/>
    <w:rsid w:val="00704C1D"/>
    <w:rsid w:val="00704FEC"/>
    <w:rsid w:val="00704FFA"/>
    <w:rsid w:val="00705A37"/>
    <w:rsid w:val="007068F5"/>
    <w:rsid w:val="00706E02"/>
    <w:rsid w:val="00707318"/>
    <w:rsid w:val="00707D70"/>
    <w:rsid w:val="00710083"/>
    <w:rsid w:val="00710104"/>
    <w:rsid w:val="007104B7"/>
    <w:rsid w:val="00710F73"/>
    <w:rsid w:val="00711475"/>
    <w:rsid w:val="007114C9"/>
    <w:rsid w:val="00711593"/>
    <w:rsid w:val="0071542A"/>
    <w:rsid w:val="007164F9"/>
    <w:rsid w:val="00716A7C"/>
    <w:rsid w:val="00717221"/>
    <w:rsid w:val="007176D5"/>
    <w:rsid w:val="00717B84"/>
    <w:rsid w:val="00720DD8"/>
    <w:rsid w:val="0072115A"/>
    <w:rsid w:val="0072193C"/>
    <w:rsid w:val="00722896"/>
    <w:rsid w:val="007241F2"/>
    <w:rsid w:val="00724A3B"/>
    <w:rsid w:val="00725299"/>
    <w:rsid w:val="0072530A"/>
    <w:rsid w:val="00727422"/>
    <w:rsid w:val="0072798F"/>
    <w:rsid w:val="007302D1"/>
    <w:rsid w:val="00730F3E"/>
    <w:rsid w:val="0073186D"/>
    <w:rsid w:val="00731EA1"/>
    <w:rsid w:val="00732070"/>
    <w:rsid w:val="0073266A"/>
    <w:rsid w:val="007326E3"/>
    <w:rsid w:val="00733350"/>
    <w:rsid w:val="0073339F"/>
    <w:rsid w:val="007339F0"/>
    <w:rsid w:val="00733B00"/>
    <w:rsid w:val="00733B37"/>
    <w:rsid w:val="00733D53"/>
    <w:rsid w:val="007344EA"/>
    <w:rsid w:val="00734962"/>
    <w:rsid w:val="00734B12"/>
    <w:rsid w:val="00735038"/>
    <w:rsid w:val="00735408"/>
    <w:rsid w:val="00736FD8"/>
    <w:rsid w:val="0073758B"/>
    <w:rsid w:val="007377FE"/>
    <w:rsid w:val="00737A40"/>
    <w:rsid w:val="0074110F"/>
    <w:rsid w:val="00741889"/>
    <w:rsid w:val="00741B84"/>
    <w:rsid w:val="00742E24"/>
    <w:rsid w:val="0074330D"/>
    <w:rsid w:val="007436AE"/>
    <w:rsid w:val="007436BF"/>
    <w:rsid w:val="0074385C"/>
    <w:rsid w:val="00743B24"/>
    <w:rsid w:val="00743B73"/>
    <w:rsid w:val="00743B9F"/>
    <w:rsid w:val="007441B8"/>
    <w:rsid w:val="00744D0A"/>
    <w:rsid w:val="00744E92"/>
    <w:rsid w:val="0074529B"/>
    <w:rsid w:val="007455FD"/>
    <w:rsid w:val="00745784"/>
    <w:rsid w:val="00745C0A"/>
    <w:rsid w:val="00746765"/>
    <w:rsid w:val="00746AE2"/>
    <w:rsid w:val="00747054"/>
    <w:rsid w:val="0074712D"/>
    <w:rsid w:val="007472FE"/>
    <w:rsid w:val="00747ECA"/>
    <w:rsid w:val="007504E7"/>
    <w:rsid w:val="00750CA0"/>
    <w:rsid w:val="007519D4"/>
    <w:rsid w:val="007529B6"/>
    <w:rsid w:val="00754E93"/>
    <w:rsid w:val="007560ED"/>
    <w:rsid w:val="007570ED"/>
    <w:rsid w:val="007572A0"/>
    <w:rsid w:val="00757304"/>
    <w:rsid w:val="007577E3"/>
    <w:rsid w:val="0076018D"/>
    <w:rsid w:val="00760A16"/>
    <w:rsid w:val="00761DE5"/>
    <w:rsid w:val="0076297F"/>
    <w:rsid w:val="00762AF5"/>
    <w:rsid w:val="00762BEE"/>
    <w:rsid w:val="007640AC"/>
    <w:rsid w:val="007643F1"/>
    <w:rsid w:val="00764BD8"/>
    <w:rsid w:val="00764CDF"/>
    <w:rsid w:val="0076523E"/>
    <w:rsid w:val="00766529"/>
    <w:rsid w:val="00770017"/>
    <w:rsid w:val="007702BE"/>
    <w:rsid w:val="0077053F"/>
    <w:rsid w:val="0077091E"/>
    <w:rsid w:val="00770B71"/>
    <w:rsid w:val="00770CEA"/>
    <w:rsid w:val="00770F6B"/>
    <w:rsid w:val="00771BE8"/>
    <w:rsid w:val="00772268"/>
    <w:rsid w:val="007722BF"/>
    <w:rsid w:val="0077284F"/>
    <w:rsid w:val="007740E0"/>
    <w:rsid w:val="00774395"/>
    <w:rsid w:val="00774CDE"/>
    <w:rsid w:val="00775258"/>
    <w:rsid w:val="0077555C"/>
    <w:rsid w:val="00775702"/>
    <w:rsid w:val="0077625F"/>
    <w:rsid w:val="007773F0"/>
    <w:rsid w:val="0078075A"/>
    <w:rsid w:val="0078163E"/>
    <w:rsid w:val="0078177D"/>
    <w:rsid w:val="00781A5E"/>
    <w:rsid w:val="00781CA5"/>
    <w:rsid w:val="00781D50"/>
    <w:rsid w:val="00782634"/>
    <w:rsid w:val="00782AE2"/>
    <w:rsid w:val="00782BE4"/>
    <w:rsid w:val="00782CF2"/>
    <w:rsid w:val="00782E0C"/>
    <w:rsid w:val="00783B93"/>
    <w:rsid w:val="007841D8"/>
    <w:rsid w:val="00784635"/>
    <w:rsid w:val="00784D9B"/>
    <w:rsid w:val="00785222"/>
    <w:rsid w:val="007857D2"/>
    <w:rsid w:val="00786BFF"/>
    <w:rsid w:val="00786CC0"/>
    <w:rsid w:val="007872CD"/>
    <w:rsid w:val="007879BC"/>
    <w:rsid w:val="00787B49"/>
    <w:rsid w:val="00787DEE"/>
    <w:rsid w:val="0079247E"/>
    <w:rsid w:val="00792CAD"/>
    <w:rsid w:val="00792DEA"/>
    <w:rsid w:val="00793C33"/>
    <w:rsid w:val="00795A8C"/>
    <w:rsid w:val="007963B0"/>
    <w:rsid w:val="0079693D"/>
    <w:rsid w:val="00797011"/>
    <w:rsid w:val="00797231"/>
    <w:rsid w:val="00797EEE"/>
    <w:rsid w:val="007A03B2"/>
    <w:rsid w:val="007A2637"/>
    <w:rsid w:val="007A2B5F"/>
    <w:rsid w:val="007A2D60"/>
    <w:rsid w:val="007A2E11"/>
    <w:rsid w:val="007A350C"/>
    <w:rsid w:val="007A3783"/>
    <w:rsid w:val="007A3D19"/>
    <w:rsid w:val="007A4D7C"/>
    <w:rsid w:val="007A5348"/>
    <w:rsid w:val="007A53BD"/>
    <w:rsid w:val="007A5878"/>
    <w:rsid w:val="007A63C6"/>
    <w:rsid w:val="007A63CE"/>
    <w:rsid w:val="007A6629"/>
    <w:rsid w:val="007A6ACF"/>
    <w:rsid w:val="007A6BC1"/>
    <w:rsid w:val="007A6E00"/>
    <w:rsid w:val="007A7E61"/>
    <w:rsid w:val="007B11BA"/>
    <w:rsid w:val="007B16BC"/>
    <w:rsid w:val="007B305E"/>
    <w:rsid w:val="007B33EB"/>
    <w:rsid w:val="007B343D"/>
    <w:rsid w:val="007B3FBB"/>
    <w:rsid w:val="007B44CE"/>
    <w:rsid w:val="007B484C"/>
    <w:rsid w:val="007B48A8"/>
    <w:rsid w:val="007B4A57"/>
    <w:rsid w:val="007B55B4"/>
    <w:rsid w:val="007B5BEA"/>
    <w:rsid w:val="007B5CB3"/>
    <w:rsid w:val="007B6376"/>
    <w:rsid w:val="007B72AD"/>
    <w:rsid w:val="007B74A5"/>
    <w:rsid w:val="007B75BC"/>
    <w:rsid w:val="007C0010"/>
    <w:rsid w:val="007C0053"/>
    <w:rsid w:val="007C02C8"/>
    <w:rsid w:val="007C0592"/>
    <w:rsid w:val="007C05F9"/>
    <w:rsid w:val="007C0B18"/>
    <w:rsid w:val="007C1205"/>
    <w:rsid w:val="007C15DC"/>
    <w:rsid w:val="007C1F34"/>
    <w:rsid w:val="007C2CDA"/>
    <w:rsid w:val="007C2DA9"/>
    <w:rsid w:val="007C2F89"/>
    <w:rsid w:val="007C3627"/>
    <w:rsid w:val="007C3683"/>
    <w:rsid w:val="007C4140"/>
    <w:rsid w:val="007C4327"/>
    <w:rsid w:val="007C4808"/>
    <w:rsid w:val="007C4D30"/>
    <w:rsid w:val="007C4F3A"/>
    <w:rsid w:val="007C550B"/>
    <w:rsid w:val="007C5B8F"/>
    <w:rsid w:val="007C5E42"/>
    <w:rsid w:val="007C653F"/>
    <w:rsid w:val="007C6F21"/>
    <w:rsid w:val="007C755A"/>
    <w:rsid w:val="007C775B"/>
    <w:rsid w:val="007C778C"/>
    <w:rsid w:val="007D1035"/>
    <w:rsid w:val="007D23E4"/>
    <w:rsid w:val="007D2FB3"/>
    <w:rsid w:val="007D3096"/>
    <w:rsid w:val="007D389E"/>
    <w:rsid w:val="007D4310"/>
    <w:rsid w:val="007D4EFE"/>
    <w:rsid w:val="007D5068"/>
    <w:rsid w:val="007D56C3"/>
    <w:rsid w:val="007D589E"/>
    <w:rsid w:val="007D65E4"/>
    <w:rsid w:val="007D6AEF"/>
    <w:rsid w:val="007D6DA6"/>
    <w:rsid w:val="007D7B11"/>
    <w:rsid w:val="007D7FD0"/>
    <w:rsid w:val="007E0352"/>
    <w:rsid w:val="007E03BB"/>
    <w:rsid w:val="007E14DE"/>
    <w:rsid w:val="007E2323"/>
    <w:rsid w:val="007E3224"/>
    <w:rsid w:val="007E425D"/>
    <w:rsid w:val="007E4F9D"/>
    <w:rsid w:val="007E5F8F"/>
    <w:rsid w:val="007E6799"/>
    <w:rsid w:val="007E67B8"/>
    <w:rsid w:val="007E6899"/>
    <w:rsid w:val="007E6D6F"/>
    <w:rsid w:val="007F0791"/>
    <w:rsid w:val="007F0989"/>
    <w:rsid w:val="007F0A87"/>
    <w:rsid w:val="007F188D"/>
    <w:rsid w:val="007F1DBD"/>
    <w:rsid w:val="007F1F0F"/>
    <w:rsid w:val="007F27B0"/>
    <w:rsid w:val="007F3B66"/>
    <w:rsid w:val="007F42F9"/>
    <w:rsid w:val="007F4D86"/>
    <w:rsid w:val="007F6B40"/>
    <w:rsid w:val="007F7756"/>
    <w:rsid w:val="007F7CBD"/>
    <w:rsid w:val="00800236"/>
    <w:rsid w:val="00800576"/>
    <w:rsid w:val="008009BD"/>
    <w:rsid w:val="00800AFE"/>
    <w:rsid w:val="00800B28"/>
    <w:rsid w:val="00801311"/>
    <w:rsid w:val="008015F3"/>
    <w:rsid w:val="0080196E"/>
    <w:rsid w:val="00801E50"/>
    <w:rsid w:val="0080287A"/>
    <w:rsid w:val="00802D89"/>
    <w:rsid w:val="008050D2"/>
    <w:rsid w:val="008050DA"/>
    <w:rsid w:val="008053B0"/>
    <w:rsid w:val="008063BD"/>
    <w:rsid w:val="00806CDC"/>
    <w:rsid w:val="00807821"/>
    <w:rsid w:val="0081009D"/>
    <w:rsid w:val="00810174"/>
    <w:rsid w:val="00811829"/>
    <w:rsid w:val="008125EC"/>
    <w:rsid w:val="008131E3"/>
    <w:rsid w:val="008139A1"/>
    <w:rsid w:val="00813E0F"/>
    <w:rsid w:val="008144F7"/>
    <w:rsid w:val="00814E49"/>
    <w:rsid w:val="008151CF"/>
    <w:rsid w:val="008161DF"/>
    <w:rsid w:val="008164D0"/>
    <w:rsid w:val="00816BD4"/>
    <w:rsid w:val="00816D02"/>
    <w:rsid w:val="00817CDE"/>
    <w:rsid w:val="00820658"/>
    <w:rsid w:val="00820D54"/>
    <w:rsid w:val="0082108E"/>
    <w:rsid w:val="00821198"/>
    <w:rsid w:val="00821281"/>
    <w:rsid w:val="008215A4"/>
    <w:rsid w:val="00822CF5"/>
    <w:rsid w:val="00824ED0"/>
    <w:rsid w:val="008250F5"/>
    <w:rsid w:val="0082536A"/>
    <w:rsid w:val="00825D15"/>
    <w:rsid w:val="0082699E"/>
    <w:rsid w:val="00826ACC"/>
    <w:rsid w:val="008274EF"/>
    <w:rsid w:val="00827B8D"/>
    <w:rsid w:val="0083123A"/>
    <w:rsid w:val="008314EB"/>
    <w:rsid w:val="008323E5"/>
    <w:rsid w:val="008326D4"/>
    <w:rsid w:val="008334FC"/>
    <w:rsid w:val="00833B41"/>
    <w:rsid w:val="00833DCA"/>
    <w:rsid w:val="00835635"/>
    <w:rsid w:val="00835825"/>
    <w:rsid w:val="00836DC2"/>
    <w:rsid w:val="0083777F"/>
    <w:rsid w:val="008402E0"/>
    <w:rsid w:val="008418AD"/>
    <w:rsid w:val="00841E50"/>
    <w:rsid w:val="00842F6A"/>
    <w:rsid w:val="00843600"/>
    <w:rsid w:val="00845659"/>
    <w:rsid w:val="00845A6D"/>
    <w:rsid w:val="00845BA8"/>
    <w:rsid w:val="008464FA"/>
    <w:rsid w:val="008478C5"/>
    <w:rsid w:val="00847F7A"/>
    <w:rsid w:val="0085060D"/>
    <w:rsid w:val="00850B66"/>
    <w:rsid w:val="008510A7"/>
    <w:rsid w:val="00852120"/>
    <w:rsid w:val="00852353"/>
    <w:rsid w:val="008529D2"/>
    <w:rsid w:val="00852AA6"/>
    <w:rsid w:val="00852B6D"/>
    <w:rsid w:val="0085325D"/>
    <w:rsid w:val="00854072"/>
    <w:rsid w:val="00854A34"/>
    <w:rsid w:val="00854AB5"/>
    <w:rsid w:val="00855C6C"/>
    <w:rsid w:val="008565A3"/>
    <w:rsid w:val="0085680C"/>
    <w:rsid w:val="00856A90"/>
    <w:rsid w:val="008576B1"/>
    <w:rsid w:val="00860102"/>
    <w:rsid w:val="00861805"/>
    <w:rsid w:val="008619B2"/>
    <w:rsid w:val="00861F86"/>
    <w:rsid w:val="00862987"/>
    <w:rsid w:val="00863786"/>
    <w:rsid w:val="008640E9"/>
    <w:rsid w:val="0086562A"/>
    <w:rsid w:val="008660A7"/>
    <w:rsid w:val="00866586"/>
    <w:rsid w:val="00866AF5"/>
    <w:rsid w:val="00866D6D"/>
    <w:rsid w:val="008679C6"/>
    <w:rsid w:val="00870324"/>
    <w:rsid w:val="008706B1"/>
    <w:rsid w:val="008716FA"/>
    <w:rsid w:val="00871961"/>
    <w:rsid w:val="00871A34"/>
    <w:rsid w:val="008720FD"/>
    <w:rsid w:val="00872163"/>
    <w:rsid w:val="00872E63"/>
    <w:rsid w:val="0087353C"/>
    <w:rsid w:val="00873557"/>
    <w:rsid w:val="00874687"/>
    <w:rsid w:val="008748AC"/>
    <w:rsid w:val="0087490B"/>
    <w:rsid w:val="0087509D"/>
    <w:rsid w:val="00875451"/>
    <w:rsid w:val="00876A57"/>
    <w:rsid w:val="00877839"/>
    <w:rsid w:val="0088018B"/>
    <w:rsid w:val="008806AA"/>
    <w:rsid w:val="00880960"/>
    <w:rsid w:val="00880E51"/>
    <w:rsid w:val="00881EE3"/>
    <w:rsid w:val="00882C76"/>
    <w:rsid w:val="00884E84"/>
    <w:rsid w:val="00885281"/>
    <w:rsid w:val="008852A1"/>
    <w:rsid w:val="00885414"/>
    <w:rsid w:val="00885AC4"/>
    <w:rsid w:val="00885E14"/>
    <w:rsid w:val="00886126"/>
    <w:rsid w:val="00886B48"/>
    <w:rsid w:val="00886F51"/>
    <w:rsid w:val="00887682"/>
    <w:rsid w:val="00890636"/>
    <w:rsid w:val="00891238"/>
    <w:rsid w:val="0089147A"/>
    <w:rsid w:val="0089301D"/>
    <w:rsid w:val="00893042"/>
    <w:rsid w:val="008933FF"/>
    <w:rsid w:val="008939A2"/>
    <w:rsid w:val="008945CD"/>
    <w:rsid w:val="00894832"/>
    <w:rsid w:val="00894BD4"/>
    <w:rsid w:val="008957DC"/>
    <w:rsid w:val="008958F3"/>
    <w:rsid w:val="00896300"/>
    <w:rsid w:val="008963F5"/>
    <w:rsid w:val="00896FB8"/>
    <w:rsid w:val="00897274"/>
    <w:rsid w:val="00897D1E"/>
    <w:rsid w:val="008A00E4"/>
    <w:rsid w:val="008A05D4"/>
    <w:rsid w:val="008A0908"/>
    <w:rsid w:val="008A0E04"/>
    <w:rsid w:val="008A1727"/>
    <w:rsid w:val="008A34B0"/>
    <w:rsid w:val="008A4956"/>
    <w:rsid w:val="008A4ADC"/>
    <w:rsid w:val="008A5CC3"/>
    <w:rsid w:val="008A63EE"/>
    <w:rsid w:val="008A68F1"/>
    <w:rsid w:val="008A6A53"/>
    <w:rsid w:val="008A7ACB"/>
    <w:rsid w:val="008A7FF7"/>
    <w:rsid w:val="008B0C92"/>
    <w:rsid w:val="008B0FDD"/>
    <w:rsid w:val="008B133F"/>
    <w:rsid w:val="008B146B"/>
    <w:rsid w:val="008B1D44"/>
    <w:rsid w:val="008B21E4"/>
    <w:rsid w:val="008B29C2"/>
    <w:rsid w:val="008B4146"/>
    <w:rsid w:val="008B48D6"/>
    <w:rsid w:val="008B4A03"/>
    <w:rsid w:val="008B5282"/>
    <w:rsid w:val="008B56A7"/>
    <w:rsid w:val="008B6407"/>
    <w:rsid w:val="008B6A18"/>
    <w:rsid w:val="008B72B5"/>
    <w:rsid w:val="008B7F58"/>
    <w:rsid w:val="008C006E"/>
    <w:rsid w:val="008C0352"/>
    <w:rsid w:val="008C0D45"/>
    <w:rsid w:val="008C11E1"/>
    <w:rsid w:val="008C1929"/>
    <w:rsid w:val="008C285C"/>
    <w:rsid w:val="008C2FFE"/>
    <w:rsid w:val="008C3118"/>
    <w:rsid w:val="008C3A30"/>
    <w:rsid w:val="008C4213"/>
    <w:rsid w:val="008C4FA3"/>
    <w:rsid w:val="008C5A66"/>
    <w:rsid w:val="008C6190"/>
    <w:rsid w:val="008C6BCC"/>
    <w:rsid w:val="008C7B92"/>
    <w:rsid w:val="008D0FD2"/>
    <w:rsid w:val="008D1C1F"/>
    <w:rsid w:val="008D1E54"/>
    <w:rsid w:val="008D2614"/>
    <w:rsid w:val="008D2C62"/>
    <w:rsid w:val="008D3B41"/>
    <w:rsid w:val="008D3C44"/>
    <w:rsid w:val="008D3DE4"/>
    <w:rsid w:val="008D561A"/>
    <w:rsid w:val="008D62BC"/>
    <w:rsid w:val="008D6321"/>
    <w:rsid w:val="008D6D47"/>
    <w:rsid w:val="008D6E68"/>
    <w:rsid w:val="008D74A8"/>
    <w:rsid w:val="008D7813"/>
    <w:rsid w:val="008E0074"/>
    <w:rsid w:val="008E1250"/>
    <w:rsid w:val="008E1767"/>
    <w:rsid w:val="008E26E1"/>
    <w:rsid w:val="008E3348"/>
    <w:rsid w:val="008E47C1"/>
    <w:rsid w:val="008E4D12"/>
    <w:rsid w:val="008E4DBE"/>
    <w:rsid w:val="008E5407"/>
    <w:rsid w:val="008E5ADE"/>
    <w:rsid w:val="008E6CFF"/>
    <w:rsid w:val="008E7619"/>
    <w:rsid w:val="008F1599"/>
    <w:rsid w:val="008F1ACC"/>
    <w:rsid w:val="008F2581"/>
    <w:rsid w:val="008F437F"/>
    <w:rsid w:val="008F4490"/>
    <w:rsid w:val="008F4D3E"/>
    <w:rsid w:val="008F4F39"/>
    <w:rsid w:val="008F507F"/>
    <w:rsid w:val="008F5318"/>
    <w:rsid w:val="008F5480"/>
    <w:rsid w:val="008F61D3"/>
    <w:rsid w:val="008F6562"/>
    <w:rsid w:val="008F72A5"/>
    <w:rsid w:val="008F786B"/>
    <w:rsid w:val="0090013D"/>
    <w:rsid w:val="00900375"/>
    <w:rsid w:val="0090055B"/>
    <w:rsid w:val="00900B90"/>
    <w:rsid w:val="0090170B"/>
    <w:rsid w:val="00902E0C"/>
    <w:rsid w:val="0090350F"/>
    <w:rsid w:val="009049F0"/>
    <w:rsid w:val="00905085"/>
    <w:rsid w:val="00905A84"/>
    <w:rsid w:val="00906250"/>
    <w:rsid w:val="009063D2"/>
    <w:rsid w:val="009068A4"/>
    <w:rsid w:val="00906966"/>
    <w:rsid w:val="00907971"/>
    <w:rsid w:val="00910502"/>
    <w:rsid w:val="00910758"/>
    <w:rsid w:val="00910EAC"/>
    <w:rsid w:val="00911345"/>
    <w:rsid w:val="009124E4"/>
    <w:rsid w:val="009129F8"/>
    <w:rsid w:val="00912D00"/>
    <w:rsid w:val="00912E25"/>
    <w:rsid w:val="00913AC0"/>
    <w:rsid w:val="009147C0"/>
    <w:rsid w:val="00914ADC"/>
    <w:rsid w:val="00914FE5"/>
    <w:rsid w:val="0091589C"/>
    <w:rsid w:val="00916EE4"/>
    <w:rsid w:val="00916F75"/>
    <w:rsid w:val="00917300"/>
    <w:rsid w:val="0091741B"/>
    <w:rsid w:val="009176CB"/>
    <w:rsid w:val="00917DB0"/>
    <w:rsid w:val="00920156"/>
    <w:rsid w:val="0092097B"/>
    <w:rsid w:val="009209DC"/>
    <w:rsid w:val="00920B2D"/>
    <w:rsid w:val="00920B80"/>
    <w:rsid w:val="00921017"/>
    <w:rsid w:val="00921075"/>
    <w:rsid w:val="00921326"/>
    <w:rsid w:val="00921863"/>
    <w:rsid w:val="00921B32"/>
    <w:rsid w:val="00921CEA"/>
    <w:rsid w:val="009229E9"/>
    <w:rsid w:val="00922ADA"/>
    <w:rsid w:val="00922D84"/>
    <w:rsid w:val="0092372F"/>
    <w:rsid w:val="00924067"/>
    <w:rsid w:val="0092504F"/>
    <w:rsid w:val="0092594A"/>
    <w:rsid w:val="00925984"/>
    <w:rsid w:val="00926076"/>
    <w:rsid w:val="00927C9D"/>
    <w:rsid w:val="00930270"/>
    <w:rsid w:val="0093200D"/>
    <w:rsid w:val="0093282D"/>
    <w:rsid w:val="00933855"/>
    <w:rsid w:val="00933BA3"/>
    <w:rsid w:val="00933EDC"/>
    <w:rsid w:val="009340CC"/>
    <w:rsid w:val="009348A8"/>
    <w:rsid w:val="00935766"/>
    <w:rsid w:val="00936B27"/>
    <w:rsid w:val="0094086C"/>
    <w:rsid w:val="009408B3"/>
    <w:rsid w:val="00942354"/>
    <w:rsid w:val="0094286E"/>
    <w:rsid w:val="00942D31"/>
    <w:rsid w:val="00942FD8"/>
    <w:rsid w:val="00943345"/>
    <w:rsid w:val="009435CC"/>
    <w:rsid w:val="009436A3"/>
    <w:rsid w:val="00943E76"/>
    <w:rsid w:val="0094414B"/>
    <w:rsid w:val="00944863"/>
    <w:rsid w:val="00944ECD"/>
    <w:rsid w:val="00945A16"/>
    <w:rsid w:val="00945A4E"/>
    <w:rsid w:val="00945DDF"/>
    <w:rsid w:val="00947954"/>
    <w:rsid w:val="00947B17"/>
    <w:rsid w:val="00947CD3"/>
    <w:rsid w:val="00950AC5"/>
    <w:rsid w:val="00951951"/>
    <w:rsid w:val="00951EA3"/>
    <w:rsid w:val="00952BC7"/>
    <w:rsid w:val="0095312B"/>
    <w:rsid w:val="00953153"/>
    <w:rsid w:val="00953174"/>
    <w:rsid w:val="009550B0"/>
    <w:rsid w:val="00955438"/>
    <w:rsid w:val="009557A7"/>
    <w:rsid w:val="00955D40"/>
    <w:rsid w:val="00955FC3"/>
    <w:rsid w:val="00956B42"/>
    <w:rsid w:val="00956D0B"/>
    <w:rsid w:val="00956F89"/>
    <w:rsid w:val="00960C00"/>
    <w:rsid w:val="0096171F"/>
    <w:rsid w:val="00961B5D"/>
    <w:rsid w:val="009622D9"/>
    <w:rsid w:val="0096320E"/>
    <w:rsid w:val="009644BE"/>
    <w:rsid w:val="009648AB"/>
    <w:rsid w:val="00964E24"/>
    <w:rsid w:val="0096688C"/>
    <w:rsid w:val="00967877"/>
    <w:rsid w:val="009678E4"/>
    <w:rsid w:val="00967CC2"/>
    <w:rsid w:val="00967CFB"/>
    <w:rsid w:val="009702A9"/>
    <w:rsid w:val="00972275"/>
    <w:rsid w:val="00972D6D"/>
    <w:rsid w:val="0097319C"/>
    <w:rsid w:val="009731FA"/>
    <w:rsid w:val="00973879"/>
    <w:rsid w:val="009739E9"/>
    <w:rsid w:val="00973D35"/>
    <w:rsid w:val="009749A0"/>
    <w:rsid w:val="00974CCF"/>
    <w:rsid w:val="0097572C"/>
    <w:rsid w:val="0097578F"/>
    <w:rsid w:val="009757B1"/>
    <w:rsid w:val="0097595F"/>
    <w:rsid w:val="00976F74"/>
    <w:rsid w:val="00977266"/>
    <w:rsid w:val="00980F2C"/>
    <w:rsid w:val="0098144B"/>
    <w:rsid w:val="00981E16"/>
    <w:rsid w:val="00982143"/>
    <w:rsid w:val="009821AF"/>
    <w:rsid w:val="009821F1"/>
    <w:rsid w:val="00982E6A"/>
    <w:rsid w:val="00984473"/>
    <w:rsid w:val="009852BE"/>
    <w:rsid w:val="00985956"/>
    <w:rsid w:val="00985C3A"/>
    <w:rsid w:val="00986550"/>
    <w:rsid w:val="00987C19"/>
    <w:rsid w:val="009917FD"/>
    <w:rsid w:val="00991A09"/>
    <w:rsid w:val="00991E2E"/>
    <w:rsid w:val="009920E3"/>
    <w:rsid w:val="00992F1E"/>
    <w:rsid w:val="009954C7"/>
    <w:rsid w:val="0099594B"/>
    <w:rsid w:val="00995D65"/>
    <w:rsid w:val="00996197"/>
    <w:rsid w:val="009962BF"/>
    <w:rsid w:val="00996AA2"/>
    <w:rsid w:val="00996C96"/>
    <w:rsid w:val="00997030"/>
    <w:rsid w:val="00997537"/>
    <w:rsid w:val="009A02D7"/>
    <w:rsid w:val="009A0AAE"/>
    <w:rsid w:val="009A2466"/>
    <w:rsid w:val="009A2FE8"/>
    <w:rsid w:val="009A3A8C"/>
    <w:rsid w:val="009A3ABA"/>
    <w:rsid w:val="009A43A7"/>
    <w:rsid w:val="009A4FFD"/>
    <w:rsid w:val="009A5041"/>
    <w:rsid w:val="009A5343"/>
    <w:rsid w:val="009A606E"/>
    <w:rsid w:val="009A67D8"/>
    <w:rsid w:val="009A6F8B"/>
    <w:rsid w:val="009A78F1"/>
    <w:rsid w:val="009B02F1"/>
    <w:rsid w:val="009B1C7B"/>
    <w:rsid w:val="009B20B8"/>
    <w:rsid w:val="009B2DB6"/>
    <w:rsid w:val="009B3250"/>
    <w:rsid w:val="009B4754"/>
    <w:rsid w:val="009B53F0"/>
    <w:rsid w:val="009B60DF"/>
    <w:rsid w:val="009B67C7"/>
    <w:rsid w:val="009B6BB7"/>
    <w:rsid w:val="009B769B"/>
    <w:rsid w:val="009B7856"/>
    <w:rsid w:val="009C042B"/>
    <w:rsid w:val="009C0B53"/>
    <w:rsid w:val="009C0BB9"/>
    <w:rsid w:val="009C197E"/>
    <w:rsid w:val="009C1E6D"/>
    <w:rsid w:val="009C2BCE"/>
    <w:rsid w:val="009C2CDF"/>
    <w:rsid w:val="009C3630"/>
    <w:rsid w:val="009C4779"/>
    <w:rsid w:val="009C47BB"/>
    <w:rsid w:val="009C4A96"/>
    <w:rsid w:val="009C4BD6"/>
    <w:rsid w:val="009C4D21"/>
    <w:rsid w:val="009C591D"/>
    <w:rsid w:val="009C5BEA"/>
    <w:rsid w:val="009C5C02"/>
    <w:rsid w:val="009C696E"/>
    <w:rsid w:val="009C6D34"/>
    <w:rsid w:val="009C715D"/>
    <w:rsid w:val="009C7859"/>
    <w:rsid w:val="009C7F07"/>
    <w:rsid w:val="009D0ABD"/>
    <w:rsid w:val="009D0C59"/>
    <w:rsid w:val="009D1700"/>
    <w:rsid w:val="009D1ABF"/>
    <w:rsid w:val="009D2235"/>
    <w:rsid w:val="009D23CE"/>
    <w:rsid w:val="009D3803"/>
    <w:rsid w:val="009D385F"/>
    <w:rsid w:val="009D43B5"/>
    <w:rsid w:val="009D56B9"/>
    <w:rsid w:val="009D5D91"/>
    <w:rsid w:val="009D628C"/>
    <w:rsid w:val="009D6578"/>
    <w:rsid w:val="009D6900"/>
    <w:rsid w:val="009E0129"/>
    <w:rsid w:val="009E05FB"/>
    <w:rsid w:val="009E074C"/>
    <w:rsid w:val="009E0B5B"/>
    <w:rsid w:val="009E0EB9"/>
    <w:rsid w:val="009E1523"/>
    <w:rsid w:val="009E2377"/>
    <w:rsid w:val="009E3AF5"/>
    <w:rsid w:val="009E443B"/>
    <w:rsid w:val="009E4440"/>
    <w:rsid w:val="009E44AF"/>
    <w:rsid w:val="009E467B"/>
    <w:rsid w:val="009E47F6"/>
    <w:rsid w:val="009E48F4"/>
    <w:rsid w:val="009E559D"/>
    <w:rsid w:val="009E5907"/>
    <w:rsid w:val="009E5FFB"/>
    <w:rsid w:val="009E6B3F"/>
    <w:rsid w:val="009E7A13"/>
    <w:rsid w:val="009F08D5"/>
    <w:rsid w:val="009F0D2A"/>
    <w:rsid w:val="009F2369"/>
    <w:rsid w:val="009F239D"/>
    <w:rsid w:val="009F3668"/>
    <w:rsid w:val="009F3C89"/>
    <w:rsid w:val="009F3FB7"/>
    <w:rsid w:val="009F4663"/>
    <w:rsid w:val="009F4B87"/>
    <w:rsid w:val="009F4E29"/>
    <w:rsid w:val="009F5B72"/>
    <w:rsid w:val="009F61A0"/>
    <w:rsid w:val="009F6466"/>
    <w:rsid w:val="009F6725"/>
    <w:rsid w:val="009F7C52"/>
    <w:rsid w:val="009F7F7F"/>
    <w:rsid w:val="00A004B2"/>
    <w:rsid w:val="00A00EDD"/>
    <w:rsid w:val="00A01BD1"/>
    <w:rsid w:val="00A020D1"/>
    <w:rsid w:val="00A02776"/>
    <w:rsid w:val="00A032EA"/>
    <w:rsid w:val="00A040C4"/>
    <w:rsid w:val="00A0410D"/>
    <w:rsid w:val="00A04207"/>
    <w:rsid w:val="00A0476F"/>
    <w:rsid w:val="00A0486C"/>
    <w:rsid w:val="00A04E85"/>
    <w:rsid w:val="00A0537E"/>
    <w:rsid w:val="00A05F7E"/>
    <w:rsid w:val="00A066CD"/>
    <w:rsid w:val="00A0681C"/>
    <w:rsid w:val="00A06905"/>
    <w:rsid w:val="00A06920"/>
    <w:rsid w:val="00A07C98"/>
    <w:rsid w:val="00A108C5"/>
    <w:rsid w:val="00A10D3A"/>
    <w:rsid w:val="00A11072"/>
    <w:rsid w:val="00A11661"/>
    <w:rsid w:val="00A11AED"/>
    <w:rsid w:val="00A11C34"/>
    <w:rsid w:val="00A12C92"/>
    <w:rsid w:val="00A14194"/>
    <w:rsid w:val="00A15088"/>
    <w:rsid w:val="00A16780"/>
    <w:rsid w:val="00A178CF"/>
    <w:rsid w:val="00A20A3D"/>
    <w:rsid w:val="00A2136C"/>
    <w:rsid w:val="00A213EE"/>
    <w:rsid w:val="00A215F0"/>
    <w:rsid w:val="00A21C8E"/>
    <w:rsid w:val="00A224E9"/>
    <w:rsid w:val="00A230C4"/>
    <w:rsid w:val="00A231EE"/>
    <w:rsid w:val="00A2385E"/>
    <w:rsid w:val="00A23BF9"/>
    <w:rsid w:val="00A23D51"/>
    <w:rsid w:val="00A2408E"/>
    <w:rsid w:val="00A243B9"/>
    <w:rsid w:val="00A2492C"/>
    <w:rsid w:val="00A24B06"/>
    <w:rsid w:val="00A2525C"/>
    <w:rsid w:val="00A2583E"/>
    <w:rsid w:val="00A25A12"/>
    <w:rsid w:val="00A25CA9"/>
    <w:rsid w:val="00A25F48"/>
    <w:rsid w:val="00A2603A"/>
    <w:rsid w:val="00A267F6"/>
    <w:rsid w:val="00A26E85"/>
    <w:rsid w:val="00A274AF"/>
    <w:rsid w:val="00A302B8"/>
    <w:rsid w:val="00A30334"/>
    <w:rsid w:val="00A30A09"/>
    <w:rsid w:val="00A30A0A"/>
    <w:rsid w:val="00A30CFB"/>
    <w:rsid w:val="00A32713"/>
    <w:rsid w:val="00A32760"/>
    <w:rsid w:val="00A329E6"/>
    <w:rsid w:val="00A334F9"/>
    <w:rsid w:val="00A344E8"/>
    <w:rsid w:val="00A34E48"/>
    <w:rsid w:val="00A35451"/>
    <w:rsid w:val="00A356D7"/>
    <w:rsid w:val="00A35E8C"/>
    <w:rsid w:val="00A3693B"/>
    <w:rsid w:val="00A3784F"/>
    <w:rsid w:val="00A378B0"/>
    <w:rsid w:val="00A37E4C"/>
    <w:rsid w:val="00A37E58"/>
    <w:rsid w:val="00A40C6D"/>
    <w:rsid w:val="00A4134E"/>
    <w:rsid w:val="00A42245"/>
    <w:rsid w:val="00A42814"/>
    <w:rsid w:val="00A4329C"/>
    <w:rsid w:val="00A450D5"/>
    <w:rsid w:val="00A46F41"/>
    <w:rsid w:val="00A476EE"/>
    <w:rsid w:val="00A4772A"/>
    <w:rsid w:val="00A47AB1"/>
    <w:rsid w:val="00A507DC"/>
    <w:rsid w:val="00A51E38"/>
    <w:rsid w:val="00A525B3"/>
    <w:rsid w:val="00A5413E"/>
    <w:rsid w:val="00A55763"/>
    <w:rsid w:val="00A55CE6"/>
    <w:rsid w:val="00A56301"/>
    <w:rsid w:val="00A56E57"/>
    <w:rsid w:val="00A579A9"/>
    <w:rsid w:val="00A57B8B"/>
    <w:rsid w:val="00A57C61"/>
    <w:rsid w:val="00A600E0"/>
    <w:rsid w:val="00A60D1B"/>
    <w:rsid w:val="00A6202D"/>
    <w:rsid w:val="00A622DC"/>
    <w:rsid w:val="00A625B2"/>
    <w:rsid w:val="00A62CEC"/>
    <w:rsid w:val="00A6366D"/>
    <w:rsid w:val="00A63AAE"/>
    <w:rsid w:val="00A64D1F"/>
    <w:rsid w:val="00A650E3"/>
    <w:rsid w:val="00A65C3F"/>
    <w:rsid w:val="00A65F18"/>
    <w:rsid w:val="00A65FC1"/>
    <w:rsid w:val="00A66912"/>
    <w:rsid w:val="00A66B70"/>
    <w:rsid w:val="00A66EF3"/>
    <w:rsid w:val="00A707FE"/>
    <w:rsid w:val="00A70835"/>
    <w:rsid w:val="00A71157"/>
    <w:rsid w:val="00A711B0"/>
    <w:rsid w:val="00A712CB"/>
    <w:rsid w:val="00A71C51"/>
    <w:rsid w:val="00A72216"/>
    <w:rsid w:val="00A7280D"/>
    <w:rsid w:val="00A734D2"/>
    <w:rsid w:val="00A7552E"/>
    <w:rsid w:val="00A75864"/>
    <w:rsid w:val="00A75C88"/>
    <w:rsid w:val="00A763A8"/>
    <w:rsid w:val="00A76661"/>
    <w:rsid w:val="00A773A5"/>
    <w:rsid w:val="00A815D5"/>
    <w:rsid w:val="00A816DA"/>
    <w:rsid w:val="00A81ABE"/>
    <w:rsid w:val="00A82E0C"/>
    <w:rsid w:val="00A83FA6"/>
    <w:rsid w:val="00A84037"/>
    <w:rsid w:val="00A85342"/>
    <w:rsid w:val="00A85344"/>
    <w:rsid w:val="00A85E97"/>
    <w:rsid w:val="00A86494"/>
    <w:rsid w:val="00A865F3"/>
    <w:rsid w:val="00A877D7"/>
    <w:rsid w:val="00A877EF"/>
    <w:rsid w:val="00A87A40"/>
    <w:rsid w:val="00A87B2E"/>
    <w:rsid w:val="00A9148A"/>
    <w:rsid w:val="00A91EAD"/>
    <w:rsid w:val="00A9273A"/>
    <w:rsid w:val="00A931C4"/>
    <w:rsid w:val="00A93445"/>
    <w:rsid w:val="00A93512"/>
    <w:rsid w:val="00A93993"/>
    <w:rsid w:val="00A94364"/>
    <w:rsid w:val="00A961DF"/>
    <w:rsid w:val="00A9630C"/>
    <w:rsid w:val="00A9699E"/>
    <w:rsid w:val="00A96C3C"/>
    <w:rsid w:val="00A97981"/>
    <w:rsid w:val="00A979E7"/>
    <w:rsid w:val="00AA0109"/>
    <w:rsid w:val="00AA02A5"/>
    <w:rsid w:val="00AA0360"/>
    <w:rsid w:val="00AA1C3C"/>
    <w:rsid w:val="00AA299D"/>
    <w:rsid w:val="00AA3B85"/>
    <w:rsid w:val="00AA3F69"/>
    <w:rsid w:val="00AA4965"/>
    <w:rsid w:val="00AA5444"/>
    <w:rsid w:val="00AA6936"/>
    <w:rsid w:val="00AA6E52"/>
    <w:rsid w:val="00AB0AB0"/>
    <w:rsid w:val="00AB0D44"/>
    <w:rsid w:val="00AB14F0"/>
    <w:rsid w:val="00AB1F1A"/>
    <w:rsid w:val="00AB24D3"/>
    <w:rsid w:val="00AB33EC"/>
    <w:rsid w:val="00AB342E"/>
    <w:rsid w:val="00AB3A97"/>
    <w:rsid w:val="00AB3CDD"/>
    <w:rsid w:val="00AB4053"/>
    <w:rsid w:val="00AB5137"/>
    <w:rsid w:val="00AB549F"/>
    <w:rsid w:val="00AB54FD"/>
    <w:rsid w:val="00AB64FD"/>
    <w:rsid w:val="00AB695F"/>
    <w:rsid w:val="00AB6D5A"/>
    <w:rsid w:val="00AB6FC5"/>
    <w:rsid w:val="00AB7D78"/>
    <w:rsid w:val="00AB7E56"/>
    <w:rsid w:val="00AC0459"/>
    <w:rsid w:val="00AC0F05"/>
    <w:rsid w:val="00AC0F22"/>
    <w:rsid w:val="00AC1224"/>
    <w:rsid w:val="00AC18E1"/>
    <w:rsid w:val="00AC251C"/>
    <w:rsid w:val="00AC2793"/>
    <w:rsid w:val="00AC2AD6"/>
    <w:rsid w:val="00AC32B0"/>
    <w:rsid w:val="00AC3BC6"/>
    <w:rsid w:val="00AC4673"/>
    <w:rsid w:val="00AC4A57"/>
    <w:rsid w:val="00AC4A89"/>
    <w:rsid w:val="00AC4BC4"/>
    <w:rsid w:val="00AC577D"/>
    <w:rsid w:val="00AC58DF"/>
    <w:rsid w:val="00AC5E94"/>
    <w:rsid w:val="00AC6E7B"/>
    <w:rsid w:val="00AC7003"/>
    <w:rsid w:val="00AC714A"/>
    <w:rsid w:val="00AC7CB2"/>
    <w:rsid w:val="00AC7CCA"/>
    <w:rsid w:val="00AD0527"/>
    <w:rsid w:val="00AD0834"/>
    <w:rsid w:val="00AD0949"/>
    <w:rsid w:val="00AD0E33"/>
    <w:rsid w:val="00AD21BE"/>
    <w:rsid w:val="00AD2C28"/>
    <w:rsid w:val="00AD3357"/>
    <w:rsid w:val="00AD40B7"/>
    <w:rsid w:val="00AD48A2"/>
    <w:rsid w:val="00AD4A4E"/>
    <w:rsid w:val="00AD4CEB"/>
    <w:rsid w:val="00AD5BB0"/>
    <w:rsid w:val="00AD71DE"/>
    <w:rsid w:val="00AE0012"/>
    <w:rsid w:val="00AE1304"/>
    <w:rsid w:val="00AE263E"/>
    <w:rsid w:val="00AE26DB"/>
    <w:rsid w:val="00AE2B7B"/>
    <w:rsid w:val="00AE35CC"/>
    <w:rsid w:val="00AE5681"/>
    <w:rsid w:val="00AE635D"/>
    <w:rsid w:val="00AE6A01"/>
    <w:rsid w:val="00AE6C8C"/>
    <w:rsid w:val="00AE7F61"/>
    <w:rsid w:val="00AF0AB8"/>
    <w:rsid w:val="00AF11B7"/>
    <w:rsid w:val="00AF3398"/>
    <w:rsid w:val="00AF3DC5"/>
    <w:rsid w:val="00AF42B3"/>
    <w:rsid w:val="00AF4BCB"/>
    <w:rsid w:val="00AF5881"/>
    <w:rsid w:val="00AF5CCA"/>
    <w:rsid w:val="00AF6A80"/>
    <w:rsid w:val="00AF726F"/>
    <w:rsid w:val="00AF7682"/>
    <w:rsid w:val="00AF7C14"/>
    <w:rsid w:val="00B01205"/>
    <w:rsid w:val="00B013D9"/>
    <w:rsid w:val="00B0242D"/>
    <w:rsid w:val="00B02490"/>
    <w:rsid w:val="00B02521"/>
    <w:rsid w:val="00B02B79"/>
    <w:rsid w:val="00B0301D"/>
    <w:rsid w:val="00B03A8F"/>
    <w:rsid w:val="00B04B0D"/>
    <w:rsid w:val="00B04E4C"/>
    <w:rsid w:val="00B052FB"/>
    <w:rsid w:val="00B058F5"/>
    <w:rsid w:val="00B05CE6"/>
    <w:rsid w:val="00B05EF8"/>
    <w:rsid w:val="00B0726E"/>
    <w:rsid w:val="00B07888"/>
    <w:rsid w:val="00B07A2B"/>
    <w:rsid w:val="00B1025A"/>
    <w:rsid w:val="00B10755"/>
    <w:rsid w:val="00B10A36"/>
    <w:rsid w:val="00B1107C"/>
    <w:rsid w:val="00B113C4"/>
    <w:rsid w:val="00B115B7"/>
    <w:rsid w:val="00B11D84"/>
    <w:rsid w:val="00B12697"/>
    <w:rsid w:val="00B12916"/>
    <w:rsid w:val="00B12C31"/>
    <w:rsid w:val="00B14181"/>
    <w:rsid w:val="00B14BAE"/>
    <w:rsid w:val="00B14EE3"/>
    <w:rsid w:val="00B15390"/>
    <w:rsid w:val="00B16832"/>
    <w:rsid w:val="00B16B33"/>
    <w:rsid w:val="00B16D85"/>
    <w:rsid w:val="00B16DAA"/>
    <w:rsid w:val="00B20393"/>
    <w:rsid w:val="00B219DA"/>
    <w:rsid w:val="00B22118"/>
    <w:rsid w:val="00B22903"/>
    <w:rsid w:val="00B22EDA"/>
    <w:rsid w:val="00B233B2"/>
    <w:rsid w:val="00B2342D"/>
    <w:rsid w:val="00B23560"/>
    <w:rsid w:val="00B2371D"/>
    <w:rsid w:val="00B24064"/>
    <w:rsid w:val="00B245DF"/>
    <w:rsid w:val="00B25508"/>
    <w:rsid w:val="00B2563A"/>
    <w:rsid w:val="00B25B95"/>
    <w:rsid w:val="00B269ED"/>
    <w:rsid w:val="00B26EEF"/>
    <w:rsid w:val="00B27BE7"/>
    <w:rsid w:val="00B27FB1"/>
    <w:rsid w:val="00B30788"/>
    <w:rsid w:val="00B30BB1"/>
    <w:rsid w:val="00B30C7B"/>
    <w:rsid w:val="00B317CC"/>
    <w:rsid w:val="00B32022"/>
    <w:rsid w:val="00B32689"/>
    <w:rsid w:val="00B32ED8"/>
    <w:rsid w:val="00B33A96"/>
    <w:rsid w:val="00B33B8B"/>
    <w:rsid w:val="00B34C44"/>
    <w:rsid w:val="00B3500A"/>
    <w:rsid w:val="00B35DE2"/>
    <w:rsid w:val="00B36030"/>
    <w:rsid w:val="00B36DA3"/>
    <w:rsid w:val="00B373DC"/>
    <w:rsid w:val="00B400DC"/>
    <w:rsid w:val="00B401D6"/>
    <w:rsid w:val="00B40697"/>
    <w:rsid w:val="00B409A4"/>
    <w:rsid w:val="00B42491"/>
    <w:rsid w:val="00B42DE0"/>
    <w:rsid w:val="00B4375E"/>
    <w:rsid w:val="00B43ABB"/>
    <w:rsid w:val="00B44047"/>
    <w:rsid w:val="00B45C22"/>
    <w:rsid w:val="00B45CBD"/>
    <w:rsid w:val="00B47555"/>
    <w:rsid w:val="00B50011"/>
    <w:rsid w:val="00B50197"/>
    <w:rsid w:val="00B50CF3"/>
    <w:rsid w:val="00B5172D"/>
    <w:rsid w:val="00B5177C"/>
    <w:rsid w:val="00B52EEA"/>
    <w:rsid w:val="00B535C2"/>
    <w:rsid w:val="00B54505"/>
    <w:rsid w:val="00B55496"/>
    <w:rsid w:val="00B55BC4"/>
    <w:rsid w:val="00B57621"/>
    <w:rsid w:val="00B576FD"/>
    <w:rsid w:val="00B57D1C"/>
    <w:rsid w:val="00B603A3"/>
    <w:rsid w:val="00B60942"/>
    <w:rsid w:val="00B60A93"/>
    <w:rsid w:val="00B60E9F"/>
    <w:rsid w:val="00B615A3"/>
    <w:rsid w:val="00B617F1"/>
    <w:rsid w:val="00B628EC"/>
    <w:rsid w:val="00B62A08"/>
    <w:rsid w:val="00B631BF"/>
    <w:rsid w:val="00B6395B"/>
    <w:rsid w:val="00B6482E"/>
    <w:rsid w:val="00B6495C"/>
    <w:rsid w:val="00B64ACC"/>
    <w:rsid w:val="00B65C57"/>
    <w:rsid w:val="00B66C85"/>
    <w:rsid w:val="00B673E5"/>
    <w:rsid w:val="00B704C3"/>
    <w:rsid w:val="00B706D7"/>
    <w:rsid w:val="00B709F5"/>
    <w:rsid w:val="00B7195A"/>
    <w:rsid w:val="00B73351"/>
    <w:rsid w:val="00B73544"/>
    <w:rsid w:val="00B73579"/>
    <w:rsid w:val="00B74CF9"/>
    <w:rsid w:val="00B75514"/>
    <w:rsid w:val="00B76957"/>
    <w:rsid w:val="00B8059A"/>
    <w:rsid w:val="00B817A3"/>
    <w:rsid w:val="00B81C8A"/>
    <w:rsid w:val="00B81C91"/>
    <w:rsid w:val="00B81CE6"/>
    <w:rsid w:val="00B81DD3"/>
    <w:rsid w:val="00B82347"/>
    <w:rsid w:val="00B83F73"/>
    <w:rsid w:val="00B84303"/>
    <w:rsid w:val="00B8454F"/>
    <w:rsid w:val="00B84C68"/>
    <w:rsid w:val="00B850D4"/>
    <w:rsid w:val="00B851B7"/>
    <w:rsid w:val="00B85385"/>
    <w:rsid w:val="00B85681"/>
    <w:rsid w:val="00B86344"/>
    <w:rsid w:val="00B865B9"/>
    <w:rsid w:val="00B868D2"/>
    <w:rsid w:val="00B87398"/>
    <w:rsid w:val="00B9215F"/>
    <w:rsid w:val="00B92D73"/>
    <w:rsid w:val="00B93A2A"/>
    <w:rsid w:val="00B93EE2"/>
    <w:rsid w:val="00B948AB"/>
    <w:rsid w:val="00B9590F"/>
    <w:rsid w:val="00B95F7D"/>
    <w:rsid w:val="00B967FF"/>
    <w:rsid w:val="00B96C8E"/>
    <w:rsid w:val="00B97046"/>
    <w:rsid w:val="00B97B82"/>
    <w:rsid w:val="00BA0474"/>
    <w:rsid w:val="00BA087E"/>
    <w:rsid w:val="00BA0DA2"/>
    <w:rsid w:val="00BA335A"/>
    <w:rsid w:val="00BA4A98"/>
    <w:rsid w:val="00BA551A"/>
    <w:rsid w:val="00BA59EF"/>
    <w:rsid w:val="00BA5F5A"/>
    <w:rsid w:val="00BA6314"/>
    <w:rsid w:val="00BA688C"/>
    <w:rsid w:val="00BB1552"/>
    <w:rsid w:val="00BB1A33"/>
    <w:rsid w:val="00BB31DA"/>
    <w:rsid w:val="00BB335D"/>
    <w:rsid w:val="00BB4804"/>
    <w:rsid w:val="00BB4ED6"/>
    <w:rsid w:val="00BB54D9"/>
    <w:rsid w:val="00BB5DF3"/>
    <w:rsid w:val="00BB612B"/>
    <w:rsid w:val="00BB6467"/>
    <w:rsid w:val="00BB7079"/>
    <w:rsid w:val="00BB7626"/>
    <w:rsid w:val="00BC08B9"/>
    <w:rsid w:val="00BC08E2"/>
    <w:rsid w:val="00BC20E7"/>
    <w:rsid w:val="00BC2223"/>
    <w:rsid w:val="00BC2262"/>
    <w:rsid w:val="00BC2AF0"/>
    <w:rsid w:val="00BC2D5C"/>
    <w:rsid w:val="00BC4CD4"/>
    <w:rsid w:val="00BC5C79"/>
    <w:rsid w:val="00BC60EF"/>
    <w:rsid w:val="00BC61F6"/>
    <w:rsid w:val="00BC6325"/>
    <w:rsid w:val="00BC6568"/>
    <w:rsid w:val="00BC6A19"/>
    <w:rsid w:val="00BC7403"/>
    <w:rsid w:val="00BC754F"/>
    <w:rsid w:val="00BC773F"/>
    <w:rsid w:val="00BC7F03"/>
    <w:rsid w:val="00BD1150"/>
    <w:rsid w:val="00BD16FD"/>
    <w:rsid w:val="00BD2D87"/>
    <w:rsid w:val="00BD32B2"/>
    <w:rsid w:val="00BD390D"/>
    <w:rsid w:val="00BD4D63"/>
    <w:rsid w:val="00BD4DAD"/>
    <w:rsid w:val="00BD501A"/>
    <w:rsid w:val="00BD6524"/>
    <w:rsid w:val="00BD6F65"/>
    <w:rsid w:val="00BD7268"/>
    <w:rsid w:val="00BD74BD"/>
    <w:rsid w:val="00BD7D8E"/>
    <w:rsid w:val="00BE0037"/>
    <w:rsid w:val="00BE0E4F"/>
    <w:rsid w:val="00BE1137"/>
    <w:rsid w:val="00BE1226"/>
    <w:rsid w:val="00BE24D3"/>
    <w:rsid w:val="00BE2937"/>
    <w:rsid w:val="00BE2A7B"/>
    <w:rsid w:val="00BE2EA9"/>
    <w:rsid w:val="00BE2FFF"/>
    <w:rsid w:val="00BE384C"/>
    <w:rsid w:val="00BE5283"/>
    <w:rsid w:val="00BE56BB"/>
    <w:rsid w:val="00BE594C"/>
    <w:rsid w:val="00BE5BB8"/>
    <w:rsid w:val="00BE5E86"/>
    <w:rsid w:val="00BE5F73"/>
    <w:rsid w:val="00BE683E"/>
    <w:rsid w:val="00BE6B7F"/>
    <w:rsid w:val="00BE7915"/>
    <w:rsid w:val="00BF0E3F"/>
    <w:rsid w:val="00BF1AB2"/>
    <w:rsid w:val="00BF1C75"/>
    <w:rsid w:val="00BF1F8F"/>
    <w:rsid w:val="00BF2AE3"/>
    <w:rsid w:val="00BF3001"/>
    <w:rsid w:val="00BF363F"/>
    <w:rsid w:val="00BF3889"/>
    <w:rsid w:val="00BF3E4E"/>
    <w:rsid w:val="00BF4959"/>
    <w:rsid w:val="00BF518E"/>
    <w:rsid w:val="00BF5CC8"/>
    <w:rsid w:val="00BF679E"/>
    <w:rsid w:val="00C00303"/>
    <w:rsid w:val="00C00CAE"/>
    <w:rsid w:val="00C0222D"/>
    <w:rsid w:val="00C027CA"/>
    <w:rsid w:val="00C02836"/>
    <w:rsid w:val="00C02A23"/>
    <w:rsid w:val="00C031DF"/>
    <w:rsid w:val="00C03406"/>
    <w:rsid w:val="00C035D7"/>
    <w:rsid w:val="00C03888"/>
    <w:rsid w:val="00C039E6"/>
    <w:rsid w:val="00C04B8C"/>
    <w:rsid w:val="00C05228"/>
    <w:rsid w:val="00C053F2"/>
    <w:rsid w:val="00C057DA"/>
    <w:rsid w:val="00C06C75"/>
    <w:rsid w:val="00C06E42"/>
    <w:rsid w:val="00C074FA"/>
    <w:rsid w:val="00C1013F"/>
    <w:rsid w:val="00C101BB"/>
    <w:rsid w:val="00C11A85"/>
    <w:rsid w:val="00C11B51"/>
    <w:rsid w:val="00C12EBD"/>
    <w:rsid w:val="00C12F94"/>
    <w:rsid w:val="00C133A1"/>
    <w:rsid w:val="00C13735"/>
    <w:rsid w:val="00C14C57"/>
    <w:rsid w:val="00C15A8E"/>
    <w:rsid w:val="00C15FCA"/>
    <w:rsid w:val="00C165FA"/>
    <w:rsid w:val="00C16C1B"/>
    <w:rsid w:val="00C17377"/>
    <w:rsid w:val="00C17BCF"/>
    <w:rsid w:val="00C17C27"/>
    <w:rsid w:val="00C20838"/>
    <w:rsid w:val="00C211C4"/>
    <w:rsid w:val="00C21639"/>
    <w:rsid w:val="00C2277B"/>
    <w:rsid w:val="00C2285F"/>
    <w:rsid w:val="00C22D47"/>
    <w:rsid w:val="00C231AD"/>
    <w:rsid w:val="00C23C5E"/>
    <w:rsid w:val="00C241B6"/>
    <w:rsid w:val="00C24874"/>
    <w:rsid w:val="00C248C5"/>
    <w:rsid w:val="00C2502D"/>
    <w:rsid w:val="00C25847"/>
    <w:rsid w:val="00C260EB"/>
    <w:rsid w:val="00C26A70"/>
    <w:rsid w:val="00C27C22"/>
    <w:rsid w:val="00C30B7A"/>
    <w:rsid w:val="00C31285"/>
    <w:rsid w:val="00C3211B"/>
    <w:rsid w:val="00C33ACA"/>
    <w:rsid w:val="00C34739"/>
    <w:rsid w:val="00C34AEE"/>
    <w:rsid w:val="00C3551D"/>
    <w:rsid w:val="00C360D7"/>
    <w:rsid w:val="00C368FA"/>
    <w:rsid w:val="00C36B4F"/>
    <w:rsid w:val="00C36DD6"/>
    <w:rsid w:val="00C37EBB"/>
    <w:rsid w:val="00C40497"/>
    <w:rsid w:val="00C409EC"/>
    <w:rsid w:val="00C40D04"/>
    <w:rsid w:val="00C412FA"/>
    <w:rsid w:val="00C41426"/>
    <w:rsid w:val="00C41438"/>
    <w:rsid w:val="00C4227A"/>
    <w:rsid w:val="00C425DC"/>
    <w:rsid w:val="00C426CD"/>
    <w:rsid w:val="00C42DEB"/>
    <w:rsid w:val="00C42E6A"/>
    <w:rsid w:val="00C449DC"/>
    <w:rsid w:val="00C452BC"/>
    <w:rsid w:val="00C45AF2"/>
    <w:rsid w:val="00C45CCA"/>
    <w:rsid w:val="00C45D69"/>
    <w:rsid w:val="00C4659E"/>
    <w:rsid w:val="00C46D01"/>
    <w:rsid w:val="00C473EE"/>
    <w:rsid w:val="00C47736"/>
    <w:rsid w:val="00C47790"/>
    <w:rsid w:val="00C47AD3"/>
    <w:rsid w:val="00C50424"/>
    <w:rsid w:val="00C50511"/>
    <w:rsid w:val="00C50D53"/>
    <w:rsid w:val="00C513A4"/>
    <w:rsid w:val="00C52749"/>
    <w:rsid w:val="00C52799"/>
    <w:rsid w:val="00C52922"/>
    <w:rsid w:val="00C53CA9"/>
    <w:rsid w:val="00C54420"/>
    <w:rsid w:val="00C54A59"/>
    <w:rsid w:val="00C55658"/>
    <w:rsid w:val="00C56342"/>
    <w:rsid w:val="00C56815"/>
    <w:rsid w:val="00C60916"/>
    <w:rsid w:val="00C62BCB"/>
    <w:rsid w:val="00C62CAE"/>
    <w:rsid w:val="00C6467A"/>
    <w:rsid w:val="00C64CBF"/>
    <w:rsid w:val="00C64D7A"/>
    <w:rsid w:val="00C64FDB"/>
    <w:rsid w:val="00C6550E"/>
    <w:rsid w:val="00C65ACA"/>
    <w:rsid w:val="00C668D8"/>
    <w:rsid w:val="00C67167"/>
    <w:rsid w:val="00C6729C"/>
    <w:rsid w:val="00C70252"/>
    <w:rsid w:val="00C711C7"/>
    <w:rsid w:val="00C739BD"/>
    <w:rsid w:val="00C73FB5"/>
    <w:rsid w:val="00C74337"/>
    <w:rsid w:val="00C7440D"/>
    <w:rsid w:val="00C745A3"/>
    <w:rsid w:val="00C7460E"/>
    <w:rsid w:val="00C74C40"/>
    <w:rsid w:val="00C7588F"/>
    <w:rsid w:val="00C764B4"/>
    <w:rsid w:val="00C76697"/>
    <w:rsid w:val="00C76DDB"/>
    <w:rsid w:val="00C80136"/>
    <w:rsid w:val="00C807B0"/>
    <w:rsid w:val="00C80E17"/>
    <w:rsid w:val="00C81BBB"/>
    <w:rsid w:val="00C821E2"/>
    <w:rsid w:val="00C82345"/>
    <w:rsid w:val="00C83818"/>
    <w:rsid w:val="00C84451"/>
    <w:rsid w:val="00C84964"/>
    <w:rsid w:val="00C84A34"/>
    <w:rsid w:val="00C85361"/>
    <w:rsid w:val="00C853F4"/>
    <w:rsid w:val="00C86BBF"/>
    <w:rsid w:val="00C86D09"/>
    <w:rsid w:val="00C8771A"/>
    <w:rsid w:val="00C879E8"/>
    <w:rsid w:val="00C87DB6"/>
    <w:rsid w:val="00C9029C"/>
    <w:rsid w:val="00C90399"/>
    <w:rsid w:val="00C9059C"/>
    <w:rsid w:val="00C9116E"/>
    <w:rsid w:val="00C91475"/>
    <w:rsid w:val="00C91C94"/>
    <w:rsid w:val="00C91EA2"/>
    <w:rsid w:val="00C9287E"/>
    <w:rsid w:val="00C92A53"/>
    <w:rsid w:val="00C936B7"/>
    <w:rsid w:val="00C93E1F"/>
    <w:rsid w:val="00C94383"/>
    <w:rsid w:val="00C9470B"/>
    <w:rsid w:val="00C95918"/>
    <w:rsid w:val="00C96818"/>
    <w:rsid w:val="00C97452"/>
    <w:rsid w:val="00C97977"/>
    <w:rsid w:val="00C97E23"/>
    <w:rsid w:val="00C97FA2"/>
    <w:rsid w:val="00CA0A75"/>
    <w:rsid w:val="00CA1D77"/>
    <w:rsid w:val="00CA1FAC"/>
    <w:rsid w:val="00CA27CB"/>
    <w:rsid w:val="00CA28BC"/>
    <w:rsid w:val="00CA2D9C"/>
    <w:rsid w:val="00CA3931"/>
    <w:rsid w:val="00CA4016"/>
    <w:rsid w:val="00CA4232"/>
    <w:rsid w:val="00CA4922"/>
    <w:rsid w:val="00CA5451"/>
    <w:rsid w:val="00CA571A"/>
    <w:rsid w:val="00CA5C13"/>
    <w:rsid w:val="00CA6088"/>
    <w:rsid w:val="00CA630C"/>
    <w:rsid w:val="00CA6A76"/>
    <w:rsid w:val="00CA6C29"/>
    <w:rsid w:val="00CA6CD3"/>
    <w:rsid w:val="00CA7D18"/>
    <w:rsid w:val="00CB0C22"/>
    <w:rsid w:val="00CB242B"/>
    <w:rsid w:val="00CB319D"/>
    <w:rsid w:val="00CB6CBC"/>
    <w:rsid w:val="00CB7624"/>
    <w:rsid w:val="00CB7FD9"/>
    <w:rsid w:val="00CC077B"/>
    <w:rsid w:val="00CC0A8C"/>
    <w:rsid w:val="00CC0D83"/>
    <w:rsid w:val="00CC10B1"/>
    <w:rsid w:val="00CC1B90"/>
    <w:rsid w:val="00CC27FC"/>
    <w:rsid w:val="00CC2C2D"/>
    <w:rsid w:val="00CC3124"/>
    <w:rsid w:val="00CC3131"/>
    <w:rsid w:val="00CC3217"/>
    <w:rsid w:val="00CC3585"/>
    <w:rsid w:val="00CC3679"/>
    <w:rsid w:val="00CC3998"/>
    <w:rsid w:val="00CC3A1D"/>
    <w:rsid w:val="00CC41A6"/>
    <w:rsid w:val="00CC4A9A"/>
    <w:rsid w:val="00CC4EE0"/>
    <w:rsid w:val="00CC5E4E"/>
    <w:rsid w:val="00CC68E0"/>
    <w:rsid w:val="00CC7496"/>
    <w:rsid w:val="00CC7671"/>
    <w:rsid w:val="00CC7793"/>
    <w:rsid w:val="00CC7AF1"/>
    <w:rsid w:val="00CC7C29"/>
    <w:rsid w:val="00CD03B4"/>
    <w:rsid w:val="00CD063A"/>
    <w:rsid w:val="00CD221B"/>
    <w:rsid w:val="00CD245C"/>
    <w:rsid w:val="00CD25AE"/>
    <w:rsid w:val="00CD29F4"/>
    <w:rsid w:val="00CD34A0"/>
    <w:rsid w:val="00CD52C2"/>
    <w:rsid w:val="00CD54B9"/>
    <w:rsid w:val="00CD6062"/>
    <w:rsid w:val="00CD6126"/>
    <w:rsid w:val="00CD6E87"/>
    <w:rsid w:val="00CD70BE"/>
    <w:rsid w:val="00CD7456"/>
    <w:rsid w:val="00CD7F65"/>
    <w:rsid w:val="00CE2255"/>
    <w:rsid w:val="00CE3E0B"/>
    <w:rsid w:val="00CE43AC"/>
    <w:rsid w:val="00CE4CCB"/>
    <w:rsid w:val="00CE514E"/>
    <w:rsid w:val="00CE5DE5"/>
    <w:rsid w:val="00CE739A"/>
    <w:rsid w:val="00CE763C"/>
    <w:rsid w:val="00CE7A12"/>
    <w:rsid w:val="00CE7F57"/>
    <w:rsid w:val="00CF0605"/>
    <w:rsid w:val="00CF081B"/>
    <w:rsid w:val="00CF0A1D"/>
    <w:rsid w:val="00CF0FAC"/>
    <w:rsid w:val="00CF18C4"/>
    <w:rsid w:val="00CF21E6"/>
    <w:rsid w:val="00CF2F4A"/>
    <w:rsid w:val="00CF360B"/>
    <w:rsid w:val="00CF3CDA"/>
    <w:rsid w:val="00CF4156"/>
    <w:rsid w:val="00CF47C2"/>
    <w:rsid w:val="00CF4BBF"/>
    <w:rsid w:val="00CF595A"/>
    <w:rsid w:val="00CF7868"/>
    <w:rsid w:val="00D0021D"/>
    <w:rsid w:val="00D006D0"/>
    <w:rsid w:val="00D00877"/>
    <w:rsid w:val="00D00941"/>
    <w:rsid w:val="00D00CDC"/>
    <w:rsid w:val="00D01CCE"/>
    <w:rsid w:val="00D02FF1"/>
    <w:rsid w:val="00D038B3"/>
    <w:rsid w:val="00D038BD"/>
    <w:rsid w:val="00D04004"/>
    <w:rsid w:val="00D04BFB"/>
    <w:rsid w:val="00D05181"/>
    <w:rsid w:val="00D0549E"/>
    <w:rsid w:val="00D056F6"/>
    <w:rsid w:val="00D061AD"/>
    <w:rsid w:val="00D06364"/>
    <w:rsid w:val="00D06603"/>
    <w:rsid w:val="00D06778"/>
    <w:rsid w:val="00D0678E"/>
    <w:rsid w:val="00D069FB"/>
    <w:rsid w:val="00D07871"/>
    <w:rsid w:val="00D105D7"/>
    <w:rsid w:val="00D10868"/>
    <w:rsid w:val="00D10A89"/>
    <w:rsid w:val="00D10ABA"/>
    <w:rsid w:val="00D11579"/>
    <w:rsid w:val="00D11935"/>
    <w:rsid w:val="00D11E16"/>
    <w:rsid w:val="00D11ED4"/>
    <w:rsid w:val="00D11F25"/>
    <w:rsid w:val="00D1248F"/>
    <w:rsid w:val="00D12818"/>
    <w:rsid w:val="00D138FF"/>
    <w:rsid w:val="00D13B40"/>
    <w:rsid w:val="00D14110"/>
    <w:rsid w:val="00D141E3"/>
    <w:rsid w:val="00D151A9"/>
    <w:rsid w:val="00D15D56"/>
    <w:rsid w:val="00D16B0D"/>
    <w:rsid w:val="00D20563"/>
    <w:rsid w:val="00D20DFB"/>
    <w:rsid w:val="00D20FF4"/>
    <w:rsid w:val="00D21826"/>
    <w:rsid w:val="00D21A68"/>
    <w:rsid w:val="00D22A55"/>
    <w:rsid w:val="00D22C01"/>
    <w:rsid w:val="00D230C2"/>
    <w:rsid w:val="00D233DA"/>
    <w:rsid w:val="00D23421"/>
    <w:rsid w:val="00D24D33"/>
    <w:rsid w:val="00D252CB"/>
    <w:rsid w:val="00D25DE1"/>
    <w:rsid w:val="00D261A0"/>
    <w:rsid w:val="00D26572"/>
    <w:rsid w:val="00D27622"/>
    <w:rsid w:val="00D27B80"/>
    <w:rsid w:val="00D27D6C"/>
    <w:rsid w:val="00D27F3C"/>
    <w:rsid w:val="00D27F3F"/>
    <w:rsid w:val="00D3071C"/>
    <w:rsid w:val="00D30AFA"/>
    <w:rsid w:val="00D30C54"/>
    <w:rsid w:val="00D321D4"/>
    <w:rsid w:val="00D32627"/>
    <w:rsid w:val="00D33015"/>
    <w:rsid w:val="00D3368E"/>
    <w:rsid w:val="00D3443A"/>
    <w:rsid w:val="00D345B2"/>
    <w:rsid w:val="00D3539F"/>
    <w:rsid w:val="00D3585D"/>
    <w:rsid w:val="00D3758D"/>
    <w:rsid w:val="00D405F9"/>
    <w:rsid w:val="00D423D8"/>
    <w:rsid w:val="00D42DF7"/>
    <w:rsid w:val="00D44207"/>
    <w:rsid w:val="00D4422D"/>
    <w:rsid w:val="00D442CD"/>
    <w:rsid w:val="00D4443C"/>
    <w:rsid w:val="00D45286"/>
    <w:rsid w:val="00D45AAC"/>
    <w:rsid w:val="00D46368"/>
    <w:rsid w:val="00D4664C"/>
    <w:rsid w:val="00D468DF"/>
    <w:rsid w:val="00D46AD8"/>
    <w:rsid w:val="00D46ECC"/>
    <w:rsid w:val="00D46F52"/>
    <w:rsid w:val="00D47154"/>
    <w:rsid w:val="00D47278"/>
    <w:rsid w:val="00D476A3"/>
    <w:rsid w:val="00D47891"/>
    <w:rsid w:val="00D47C2E"/>
    <w:rsid w:val="00D50EEA"/>
    <w:rsid w:val="00D512DB"/>
    <w:rsid w:val="00D519A8"/>
    <w:rsid w:val="00D51D24"/>
    <w:rsid w:val="00D51EE6"/>
    <w:rsid w:val="00D52035"/>
    <w:rsid w:val="00D52481"/>
    <w:rsid w:val="00D53672"/>
    <w:rsid w:val="00D53923"/>
    <w:rsid w:val="00D53A8B"/>
    <w:rsid w:val="00D53E87"/>
    <w:rsid w:val="00D54370"/>
    <w:rsid w:val="00D553E6"/>
    <w:rsid w:val="00D5601C"/>
    <w:rsid w:val="00D5652F"/>
    <w:rsid w:val="00D56DE0"/>
    <w:rsid w:val="00D572ED"/>
    <w:rsid w:val="00D578FA"/>
    <w:rsid w:val="00D57DFB"/>
    <w:rsid w:val="00D60027"/>
    <w:rsid w:val="00D601FD"/>
    <w:rsid w:val="00D60AFB"/>
    <w:rsid w:val="00D6111F"/>
    <w:rsid w:val="00D6170E"/>
    <w:rsid w:val="00D61DED"/>
    <w:rsid w:val="00D628DA"/>
    <w:rsid w:val="00D62D7D"/>
    <w:rsid w:val="00D63201"/>
    <w:rsid w:val="00D636E3"/>
    <w:rsid w:val="00D64353"/>
    <w:rsid w:val="00D65399"/>
    <w:rsid w:val="00D655F3"/>
    <w:rsid w:val="00D660FC"/>
    <w:rsid w:val="00D70357"/>
    <w:rsid w:val="00D71750"/>
    <w:rsid w:val="00D723C4"/>
    <w:rsid w:val="00D72508"/>
    <w:rsid w:val="00D72902"/>
    <w:rsid w:val="00D72A92"/>
    <w:rsid w:val="00D72B79"/>
    <w:rsid w:val="00D731E0"/>
    <w:rsid w:val="00D757A0"/>
    <w:rsid w:val="00D763FD"/>
    <w:rsid w:val="00D80D54"/>
    <w:rsid w:val="00D814BE"/>
    <w:rsid w:val="00D814E2"/>
    <w:rsid w:val="00D81911"/>
    <w:rsid w:val="00D81F61"/>
    <w:rsid w:val="00D82BB4"/>
    <w:rsid w:val="00D82C1E"/>
    <w:rsid w:val="00D839AE"/>
    <w:rsid w:val="00D83B2C"/>
    <w:rsid w:val="00D845F2"/>
    <w:rsid w:val="00D846F8"/>
    <w:rsid w:val="00D8606C"/>
    <w:rsid w:val="00D86161"/>
    <w:rsid w:val="00D864D3"/>
    <w:rsid w:val="00D87F63"/>
    <w:rsid w:val="00D9034E"/>
    <w:rsid w:val="00D90393"/>
    <w:rsid w:val="00D904B2"/>
    <w:rsid w:val="00D908F9"/>
    <w:rsid w:val="00D92036"/>
    <w:rsid w:val="00D92225"/>
    <w:rsid w:val="00D92683"/>
    <w:rsid w:val="00D92C0A"/>
    <w:rsid w:val="00D934F3"/>
    <w:rsid w:val="00D935EC"/>
    <w:rsid w:val="00D93CB5"/>
    <w:rsid w:val="00D93E94"/>
    <w:rsid w:val="00D9510D"/>
    <w:rsid w:val="00D95682"/>
    <w:rsid w:val="00D958B0"/>
    <w:rsid w:val="00D96F75"/>
    <w:rsid w:val="00D97646"/>
    <w:rsid w:val="00DA1412"/>
    <w:rsid w:val="00DA1485"/>
    <w:rsid w:val="00DA1AB1"/>
    <w:rsid w:val="00DA1F00"/>
    <w:rsid w:val="00DA22DF"/>
    <w:rsid w:val="00DA2C4E"/>
    <w:rsid w:val="00DA3B54"/>
    <w:rsid w:val="00DA3D62"/>
    <w:rsid w:val="00DA432F"/>
    <w:rsid w:val="00DA590D"/>
    <w:rsid w:val="00DA613D"/>
    <w:rsid w:val="00DA7310"/>
    <w:rsid w:val="00DA76CB"/>
    <w:rsid w:val="00DA7A20"/>
    <w:rsid w:val="00DB2265"/>
    <w:rsid w:val="00DB242D"/>
    <w:rsid w:val="00DB2772"/>
    <w:rsid w:val="00DB3604"/>
    <w:rsid w:val="00DB3A82"/>
    <w:rsid w:val="00DB3F05"/>
    <w:rsid w:val="00DB6601"/>
    <w:rsid w:val="00DB6C77"/>
    <w:rsid w:val="00DB7860"/>
    <w:rsid w:val="00DB7D3B"/>
    <w:rsid w:val="00DC0026"/>
    <w:rsid w:val="00DC118B"/>
    <w:rsid w:val="00DC1E2B"/>
    <w:rsid w:val="00DC2847"/>
    <w:rsid w:val="00DC29A2"/>
    <w:rsid w:val="00DC3293"/>
    <w:rsid w:val="00DC5633"/>
    <w:rsid w:val="00DC588E"/>
    <w:rsid w:val="00DC58C7"/>
    <w:rsid w:val="00DC6AC7"/>
    <w:rsid w:val="00DC6BD4"/>
    <w:rsid w:val="00DD3682"/>
    <w:rsid w:val="00DD3B31"/>
    <w:rsid w:val="00DD40C8"/>
    <w:rsid w:val="00DD4A6B"/>
    <w:rsid w:val="00DD53F2"/>
    <w:rsid w:val="00DD5C37"/>
    <w:rsid w:val="00DD7E58"/>
    <w:rsid w:val="00DE06B3"/>
    <w:rsid w:val="00DE131B"/>
    <w:rsid w:val="00DE166D"/>
    <w:rsid w:val="00DE1F50"/>
    <w:rsid w:val="00DE22FD"/>
    <w:rsid w:val="00DE23F5"/>
    <w:rsid w:val="00DE2DC2"/>
    <w:rsid w:val="00DE2E6B"/>
    <w:rsid w:val="00DE3F62"/>
    <w:rsid w:val="00DE457C"/>
    <w:rsid w:val="00DE482B"/>
    <w:rsid w:val="00DE4CC9"/>
    <w:rsid w:val="00DE5AC7"/>
    <w:rsid w:val="00DE7F15"/>
    <w:rsid w:val="00DF005A"/>
    <w:rsid w:val="00DF05ED"/>
    <w:rsid w:val="00DF0C88"/>
    <w:rsid w:val="00DF0E12"/>
    <w:rsid w:val="00DF2692"/>
    <w:rsid w:val="00DF27F3"/>
    <w:rsid w:val="00DF2D48"/>
    <w:rsid w:val="00DF322B"/>
    <w:rsid w:val="00DF3E19"/>
    <w:rsid w:val="00DF44B8"/>
    <w:rsid w:val="00DF4F16"/>
    <w:rsid w:val="00DF5883"/>
    <w:rsid w:val="00DF5AEA"/>
    <w:rsid w:val="00DF721B"/>
    <w:rsid w:val="00DF7330"/>
    <w:rsid w:val="00DF73F1"/>
    <w:rsid w:val="00DF778D"/>
    <w:rsid w:val="00E0123F"/>
    <w:rsid w:val="00E0134E"/>
    <w:rsid w:val="00E02198"/>
    <w:rsid w:val="00E02E1B"/>
    <w:rsid w:val="00E04391"/>
    <w:rsid w:val="00E045DF"/>
    <w:rsid w:val="00E05725"/>
    <w:rsid w:val="00E05CBB"/>
    <w:rsid w:val="00E05DFD"/>
    <w:rsid w:val="00E06731"/>
    <w:rsid w:val="00E06CE9"/>
    <w:rsid w:val="00E070CE"/>
    <w:rsid w:val="00E07763"/>
    <w:rsid w:val="00E0782E"/>
    <w:rsid w:val="00E07F24"/>
    <w:rsid w:val="00E07FCF"/>
    <w:rsid w:val="00E10C3D"/>
    <w:rsid w:val="00E1146D"/>
    <w:rsid w:val="00E11EDA"/>
    <w:rsid w:val="00E12E39"/>
    <w:rsid w:val="00E1309A"/>
    <w:rsid w:val="00E133C3"/>
    <w:rsid w:val="00E14120"/>
    <w:rsid w:val="00E14413"/>
    <w:rsid w:val="00E14BF5"/>
    <w:rsid w:val="00E15AD0"/>
    <w:rsid w:val="00E15D6F"/>
    <w:rsid w:val="00E162C3"/>
    <w:rsid w:val="00E1746A"/>
    <w:rsid w:val="00E17590"/>
    <w:rsid w:val="00E20980"/>
    <w:rsid w:val="00E209BC"/>
    <w:rsid w:val="00E20AF0"/>
    <w:rsid w:val="00E21B82"/>
    <w:rsid w:val="00E21C7D"/>
    <w:rsid w:val="00E21FAA"/>
    <w:rsid w:val="00E22104"/>
    <w:rsid w:val="00E222B6"/>
    <w:rsid w:val="00E228B3"/>
    <w:rsid w:val="00E22C86"/>
    <w:rsid w:val="00E24BFA"/>
    <w:rsid w:val="00E24FD4"/>
    <w:rsid w:val="00E251E3"/>
    <w:rsid w:val="00E25512"/>
    <w:rsid w:val="00E25AB2"/>
    <w:rsid w:val="00E25EE1"/>
    <w:rsid w:val="00E2630D"/>
    <w:rsid w:val="00E27246"/>
    <w:rsid w:val="00E27D4D"/>
    <w:rsid w:val="00E30312"/>
    <w:rsid w:val="00E30329"/>
    <w:rsid w:val="00E30672"/>
    <w:rsid w:val="00E309B8"/>
    <w:rsid w:val="00E30FD5"/>
    <w:rsid w:val="00E32A16"/>
    <w:rsid w:val="00E3398C"/>
    <w:rsid w:val="00E33D58"/>
    <w:rsid w:val="00E3414A"/>
    <w:rsid w:val="00E34FBE"/>
    <w:rsid w:val="00E35824"/>
    <w:rsid w:val="00E35E72"/>
    <w:rsid w:val="00E369BE"/>
    <w:rsid w:val="00E3714D"/>
    <w:rsid w:val="00E37196"/>
    <w:rsid w:val="00E37AEF"/>
    <w:rsid w:val="00E4098D"/>
    <w:rsid w:val="00E40DB9"/>
    <w:rsid w:val="00E40DC7"/>
    <w:rsid w:val="00E40E48"/>
    <w:rsid w:val="00E412A9"/>
    <w:rsid w:val="00E41AC4"/>
    <w:rsid w:val="00E41FEC"/>
    <w:rsid w:val="00E4228F"/>
    <w:rsid w:val="00E42793"/>
    <w:rsid w:val="00E429E7"/>
    <w:rsid w:val="00E42D85"/>
    <w:rsid w:val="00E4308F"/>
    <w:rsid w:val="00E4357A"/>
    <w:rsid w:val="00E44074"/>
    <w:rsid w:val="00E44279"/>
    <w:rsid w:val="00E4484B"/>
    <w:rsid w:val="00E45250"/>
    <w:rsid w:val="00E45F2D"/>
    <w:rsid w:val="00E479EB"/>
    <w:rsid w:val="00E47C77"/>
    <w:rsid w:val="00E50090"/>
    <w:rsid w:val="00E5065F"/>
    <w:rsid w:val="00E50771"/>
    <w:rsid w:val="00E50BEC"/>
    <w:rsid w:val="00E515CE"/>
    <w:rsid w:val="00E530ED"/>
    <w:rsid w:val="00E53732"/>
    <w:rsid w:val="00E54362"/>
    <w:rsid w:val="00E54B54"/>
    <w:rsid w:val="00E55778"/>
    <w:rsid w:val="00E561A1"/>
    <w:rsid w:val="00E56C2B"/>
    <w:rsid w:val="00E56CDC"/>
    <w:rsid w:val="00E57A22"/>
    <w:rsid w:val="00E612F4"/>
    <w:rsid w:val="00E618FC"/>
    <w:rsid w:val="00E61DE9"/>
    <w:rsid w:val="00E623EF"/>
    <w:rsid w:val="00E6368E"/>
    <w:rsid w:val="00E63924"/>
    <w:rsid w:val="00E63BCD"/>
    <w:rsid w:val="00E63D21"/>
    <w:rsid w:val="00E643A3"/>
    <w:rsid w:val="00E64441"/>
    <w:rsid w:val="00E64C32"/>
    <w:rsid w:val="00E64FD0"/>
    <w:rsid w:val="00E650EB"/>
    <w:rsid w:val="00E65598"/>
    <w:rsid w:val="00E6595C"/>
    <w:rsid w:val="00E66117"/>
    <w:rsid w:val="00E66171"/>
    <w:rsid w:val="00E668D0"/>
    <w:rsid w:val="00E66948"/>
    <w:rsid w:val="00E66D61"/>
    <w:rsid w:val="00E674C5"/>
    <w:rsid w:val="00E6758E"/>
    <w:rsid w:val="00E67D2A"/>
    <w:rsid w:val="00E70B7C"/>
    <w:rsid w:val="00E71E17"/>
    <w:rsid w:val="00E71FBC"/>
    <w:rsid w:val="00E72B9A"/>
    <w:rsid w:val="00E72CFD"/>
    <w:rsid w:val="00E72F62"/>
    <w:rsid w:val="00E730CD"/>
    <w:rsid w:val="00E7344B"/>
    <w:rsid w:val="00E73802"/>
    <w:rsid w:val="00E73BDE"/>
    <w:rsid w:val="00E73C6F"/>
    <w:rsid w:val="00E73D7A"/>
    <w:rsid w:val="00E73F0F"/>
    <w:rsid w:val="00E73F49"/>
    <w:rsid w:val="00E7412C"/>
    <w:rsid w:val="00E745DA"/>
    <w:rsid w:val="00E74FC5"/>
    <w:rsid w:val="00E766EF"/>
    <w:rsid w:val="00E76E3A"/>
    <w:rsid w:val="00E7728F"/>
    <w:rsid w:val="00E779C3"/>
    <w:rsid w:val="00E81ACF"/>
    <w:rsid w:val="00E820F2"/>
    <w:rsid w:val="00E82A9C"/>
    <w:rsid w:val="00E82E3D"/>
    <w:rsid w:val="00E82F51"/>
    <w:rsid w:val="00E83309"/>
    <w:rsid w:val="00E83E4F"/>
    <w:rsid w:val="00E842F7"/>
    <w:rsid w:val="00E8445E"/>
    <w:rsid w:val="00E84CBB"/>
    <w:rsid w:val="00E8569C"/>
    <w:rsid w:val="00E86B7F"/>
    <w:rsid w:val="00E87DA4"/>
    <w:rsid w:val="00E90213"/>
    <w:rsid w:val="00E91733"/>
    <w:rsid w:val="00E919B8"/>
    <w:rsid w:val="00E91B0A"/>
    <w:rsid w:val="00E91C58"/>
    <w:rsid w:val="00E929AF"/>
    <w:rsid w:val="00E93581"/>
    <w:rsid w:val="00E93B5B"/>
    <w:rsid w:val="00E93F88"/>
    <w:rsid w:val="00E9415D"/>
    <w:rsid w:val="00E95159"/>
    <w:rsid w:val="00E954A7"/>
    <w:rsid w:val="00E96044"/>
    <w:rsid w:val="00E960B7"/>
    <w:rsid w:val="00E964A1"/>
    <w:rsid w:val="00E96532"/>
    <w:rsid w:val="00E9731D"/>
    <w:rsid w:val="00E979EE"/>
    <w:rsid w:val="00EA2D8B"/>
    <w:rsid w:val="00EA2FD3"/>
    <w:rsid w:val="00EA33AA"/>
    <w:rsid w:val="00EA394D"/>
    <w:rsid w:val="00EA4128"/>
    <w:rsid w:val="00EA54D8"/>
    <w:rsid w:val="00EA5512"/>
    <w:rsid w:val="00EA599F"/>
    <w:rsid w:val="00EA6150"/>
    <w:rsid w:val="00EA6460"/>
    <w:rsid w:val="00EA7FA8"/>
    <w:rsid w:val="00EB0C1F"/>
    <w:rsid w:val="00EB1928"/>
    <w:rsid w:val="00EB2570"/>
    <w:rsid w:val="00EB3BB1"/>
    <w:rsid w:val="00EB3BC0"/>
    <w:rsid w:val="00EB4787"/>
    <w:rsid w:val="00EB4937"/>
    <w:rsid w:val="00EB56E0"/>
    <w:rsid w:val="00EC015C"/>
    <w:rsid w:val="00EC0529"/>
    <w:rsid w:val="00EC0850"/>
    <w:rsid w:val="00EC0FB3"/>
    <w:rsid w:val="00EC11B6"/>
    <w:rsid w:val="00EC1820"/>
    <w:rsid w:val="00EC1A39"/>
    <w:rsid w:val="00EC2AEA"/>
    <w:rsid w:val="00EC2F78"/>
    <w:rsid w:val="00EC351C"/>
    <w:rsid w:val="00EC354E"/>
    <w:rsid w:val="00EC375C"/>
    <w:rsid w:val="00EC55D3"/>
    <w:rsid w:val="00EC562E"/>
    <w:rsid w:val="00EC59E7"/>
    <w:rsid w:val="00EC6137"/>
    <w:rsid w:val="00EC6AB1"/>
    <w:rsid w:val="00EC6C8B"/>
    <w:rsid w:val="00EC6F0E"/>
    <w:rsid w:val="00ED06A5"/>
    <w:rsid w:val="00ED1D07"/>
    <w:rsid w:val="00ED1FD7"/>
    <w:rsid w:val="00ED2DD4"/>
    <w:rsid w:val="00ED3044"/>
    <w:rsid w:val="00ED3274"/>
    <w:rsid w:val="00ED3355"/>
    <w:rsid w:val="00ED342D"/>
    <w:rsid w:val="00ED35C8"/>
    <w:rsid w:val="00ED3F2D"/>
    <w:rsid w:val="00ED4814"/>
    <w:rsid w:val="00ED63BC"/>
    <w:rsid w:val="00ED67DE"/>
    <w:rsid w:val="00ED7C3F"/>
    <w:rsid w:val="00EE0077"/>
    <w:rsid w:val="00EE18B5"/>
    <w:rsid w:val="00EE20AE"/>
    <w:rsid w:val="00EE2534"/>
    <w:rsid w:val="00EE25CB"/>
    <w:rsid w:val="00EE2CD6"/>
    <w:rsid w:val="00EE43A7"/>
    <w:rsid w:val="00EE500D"/>
    <w:rsid w:val="00EE573A"/>
    <w:rsid w:val="00EE5A21"/>
    <w:rsid w:val="00EE5DB3"/>
    <w:rsid w:val="00EE5F87"/>
    <w:rsid w:val="00EE710F"/>
    <w:rsid w:val="00EE797A"/>
    <w:rsid w:val="00EF06D7"/>
    <w:rsid w:val="00EF07CE"/>
    <w:rsid w:val="00EF0D5C"/>
    <w:rsid w:val="00EF257F"/>
    <w:rsid w:val="00EF2A04"/>
    <w:rsid w:val="00EF3703"/>
    <w:rsid w:val="00EF3CE0"/>
    <w:rsid w:val="00EF44ED"/>
    <w:rsid w:val="00EF4952"/>
    <w:rsid w:val="00EF5A61"/>
    <w:rsid w:val="00EF5EF4"/>
    <w:rsid w:val="00EF60C6"/>
    <w:rsid w:val="00EF782D"/>
    <w:rsid w:val="00EF7D9B"/>
    <w:rsid w:val="00F0033F"/>
    <w:rsid w:val="00F00751"/>
    <w:rsid w:val="00F007E2"/>
    <w:rsid w:val="00F018AF"/>
    <w:rsid w:val="00F01C88"/>
    <w:rsid w:val="00F02169"/>
    <w:rsid w:val="00F02179"/>
    <w:rsid w:val="00F024DD"/>
    <w:rsid w:val="00F039D9"/>
    <w:rsid w:val="00F03A2F"/>
    <w:rsid w:val="00F03C37"/>
    <w:rsid w:val="00F03C40"/>
    <w:rsid w:val="00F0413E"/>
    <w:rsid w:val="00F04522"/>
    <w:rsid w:val="00F04EFD"/>
    <w:rsid w:val="00F05072"/>
    <w:rsid w:val="00F05543"/>
    <w:rsid w:val="00F05C7F"/>
    <w:rsid w:val="00F066E3"/>
    <w:rsid w:val="00F06847"/>
    <w:rsid w:val="00F06B35"/>
    <w:rsid w:val="00F07AEC"/>
    <w:rsid w:val="00F10954"/>
    <w:rsid w:val="00F1149C"/>
    <w:rsid w:val="00F11801"/>
    <w:rsid w:val="00F12027"/>
    <w:rsid w:val="00F1214D"/>
    <w:rsid w:val="00F12853"/>
    <w:rsid w:val="00F129E7"/>
    <w:rsid w:val="00F1360C"/>
    <w:rsid w:val="00F1386D"/>
    <w:rsid w:val="00F13B27"/>
    <w:rsid w:val="00F13CE6"/>
    <w:rsid w:val="00F149F0"/>
    <w:rsid w:val="00F154CF"/>
    <w:rsid w:val="00F15A8E"/>
    <w:rsid w:val="00F162C6"/>
    <w:rsid w:val="00F165CF"/>
    <w:rsid w:val="00F168F3"/>
    <w:rsid w:val="00F16C13"/>
    <w:rsid w:val="00F16E11"/>
    <w:rsid w:val="00F20DFA"/>
    <w:rsid w:val="00F22BA9"/>
    <w:rsid w:val="00F23D73"/>
    <w:rsid w:val="00F24C6C"/>
    <w:rsid w:val="00F24E01"/>
    <w:rsid w:val="00F25C99"/>
    <w:rsid w:val="00F26024"/>
    <w:rsid w:val="00F27524"/>
    <w:rsid w:val="00F2760E"/>
    <w:rsid w:val="00F2766C"/>
    <w:rsid w:val="00F27C4A"/>
    <w:rsid w:val="00F27F15"/>
    <w:rsid w:val="00F306BD"/>
    <w:rsid w:val="00F30751"/>
    <w:rsid w:val="00F31238"/>
    <w:rsid w:val="00F31476"/>
    <w:rsid w:val="00F31FC0"/>
    <w:rsid w:val="00F32775"/>
    <w:rsid w:val="00F33B68"/>
    <w:rsid w:val="00F33E47"/>
    <w:rsid w:val="00F34024"/>
    <w:rsid w:val="00F3444D"/>
    <w:rsid w:val="00F34FCB"/>
    <w:rsid w:val="00F35C8A"/>
    <w:rsid w:val="00F364E9"/>
    <w:rsid w:val="00F36A83"/>
    <w:rsid w:val="00F36AEB"/>
    <w:rsid w:val="00F37665"/>
    <w:rsid w:val="00F37F0B"/>
    <w:rsid w:val="00F408BB"/>
    <w:rsid w:val="00F4119C"/>
    <w:rsid w:val="00F413A3"/>
    <w:rsid w:val="00F42105"/>
    <w:rsid w:val="00F42432"/>
    <w:rsid w:val="00F427F8"/>
    <w:rsid w:val="00F42961"/>
    <w:rsid w:val="00F429FA"/>
    <w:rsid w:val="00F42E3C"/>
    <w:rsid w:val="00F42F43"/>
    <w:rsid w:val="00F42FA5"/>
    <w:rsid w:val="00F43723"/>
    <w:rsid w:val="00F43AD0"/>
    <w:rsid w:val="00F43E9C"/>
    <w:rsid w:val="00F43F10"/>
    <w:rsid w:val="00F43FAC"/>
    <w:rsid w:val="00F44146"/>
    <w:rsid w:val="00F442BA"/>
    <w:rsid w:val="00F4595F"/>
    <w:rsid w:val="00F4623F"/>
    <w:rsid w:val="00F47123"/>
    <w:rsid w:val="00F506A3"/>
    <w:rsid w:val="00F50FAF"/>
    <w:rsid w:val="00F511BA"/>
    <w:rsid w:val="00F5152D"/>
    <w:rsid w:val="00F5193B"/>
    <w:rsid w:val="00F51F28"/>
    <w:rsid w:val="00F52079"/>
    <w:rsid w:val="00F524FE"/>
    <w:rsid w:val="00F536DC"/>
    <w:rsid w:val="00F53750"/>
    <w:rsid w:val="00F5383A"/>
    <w:rsid w:val="00F5443E"/>
    <w:rsid w:val="00F553C2"/>
    <w:rsid w:val="00F556E2"/>
    <w:rsid w:val="00F559E9"/>
    <w:rsid w:val="00F55A5D"/>
    <w:rsid w:val="00F55FF9"/>
    <w:rsid w:val="00F5619C"/>
    <w:rsid w:val="00F57D02"/>
    <w:rsid w:val="00F57FFC"/>
    <w:rsid w:val="00F60EA8"/>
    <w:rsid w:val="00F61389"/>
    <w:rsid w:val="00F61647"/>
    <w:rsid w:val="00F61910"/>
    <w:rsid w:val="00F61F98"/>
    <w:rsid w:val="00F63C00"/>
    <w:rsid w:val="00F63FBA"/>
    <w:rsid w:val="00F64217"/>
    <w:rsid w:val="00F64425"/>
    <w:rsid w:val="00F65CA7"/>
    <w:rsid w:val="00F66A5C"/>
    <w:rsid w:val="00F6732A"/>
    <w:rsid w:val="00F67EFD"/>
    <w:rsid w:val="00F7195C"/>
    <w:rsid w:val="00F71997"/>
    <w:rsid w:val="00F71C9E"/>
    <w:rsid w:val="00F721C0"/>
    <w:rsid w:val="00F72679"/>
    <w:rsid w:val="00F72B48"/>
    <w:rsid w:val="00F7532B"/>
    <w:rsid w:val="00F75514"/>
    <w:rsid w:val="00F7562F"/>
    <w:rsid w:val="00F7576A"/>
    <w:rsid w:val="00F75FC1"/>
    <w:rsid w:val="00F76665"/>
    <w:rsid w:val="00F766D4"/>
    <w:rsid w:val="00F76709"/>
    <w:rsid w:val="00F773AA"/>
    <w:rsid w:val="00F77C52"/>
    <w:rsid w:val="00F80964"/>
    <w:rsid w:val="00F81253"/>
    <w:rsid w:val="00F82326"/>
    <w:rsid w:val="00F82D5C"/>
    <w:rsid w:val="00F82F7C"/>
    <w:rsid w:val="00F835AE"/>
    <w:rsid w:val="00F84069"/>
    <w:rsid w:val="00F84723"/>
    <w:rsid w:val="00F84859"/>
    <w:rsid w:val="00F84F14"/>
    <w:rsid w:val="00F86051"/>
    <w:rsid w:val="00F868D9"/>
    <w:rsid w:val="00F869E5"/>
    <w:rsid w:val="00F86D04"/>
    <w:rsid w:val="00F86D86"/>
    <w:rsid w:val="00F8732F"/>
    <w:rsid w:val="00F87CFE"/>
    <w:rsid w:val="00F913EC"/>
    <w:rsid w:val="00F927CD"/>
    <w:rsid w:val="00F92B13"/>
    <w:rsid w:val="00F92E0C"/>
    <w:rsid w:val="00F93382"/>
    <w:rsid w:val="00F945E3"/>
    <w:rsid w:val="00F94933"/>
    <w:rsid w:val="00F94C15"/>
    <w:rsid w:val="00F94F68"/>
    <w:rsid w:val="00F9515E"/>
    <w:rsid w:val="00F9516F"/>
    <w:rsid w:val="00F955C6"/>
    <w:rsid w:val="00F963D3"/>
    <w:rsid w:val="00F9714C"/>
    <w:rsid w:val="00F97C8A"/>
    <w:rsid w:val="00FA110D"/>
    <w:rsid w:val="00FA1C13"/>
    <w:rsid w:val="00FA1D4A"/>
    <w:rsid w:val="00FA237F"/>
    <w:rsid w:val="00FA2452"/>
    <w:rsid w:val="00FA2B28"/>
    <w:rsid w:val="00FA39D6"/>
    <w:rsid w:val="00FA3F23"/>
    <w:rsid w:val="00FA48A5"/>
    <w:rsid w:val="00FA4CA0"/>
    <w:rsid w:val="00FA6886"/>
    <w:rsid w:val="00FA6995"/>
    <w:rsid w:val="00FA77CC"/>
    <w:rsid w:val="00FB07CD"/>
    <w:rsid w:val="00FB0BC0"/>
    <w:rsid w:val="00FB0D34"/>
    <w:rsid w:val="00FB0E75"/>
    <w:rsid w:val="00FB1327"/>
    <w:rsid w:val="00FB1E36"/>
    <w:rsid w:val="00FB3202"/>
    <w:rsid w:val="00FB34F5"/>
    <w:rsid w:val="00FB5075"/>
    <w:rsid w:val="00FB55E8"/>
    <w:rsid w:val="00FB567A"/>
    <w:rsid w:val="00FB578E"/>
    <w:rsid w:val="00FB66F6"/>
    <w:rsid w:val="00FB7133"/>
    <w:rsid w:val="00FB7F9B"/>
    <w:rsid w:val="00FC1A34"/>
    <w:rsid w:val="00FC2461"/>
    <w:rsid w:val="00FC2646"/>
    <w:rsid w:val="00FC2E7A"/>
    <w:rsid w:val="00FC2EC6"/>
    <w:rsid w:val="00FC33BE"/>
    <w:rsid w:val="00FC4BCD"/>
    <w:rsid w:val="00FC6389"/>
    <w:rsid w:val="00FC74E1"/>
    <w:rsid w:val="00FC7677"/>
    <w:rsid w:val="00FC790D"/>
    <w:rsid w:val="00FC7BB2"/>
    <w:rsid w:val="00FD0547"/>
    <w:rsid w:val="00FD0BDB"/>
    <w:rsid w:val="00FD0D3F"/>
    <w:rsid w:val="00FD2011"/>
    <w:rsid w:val="00FD27B4"/>
    <w:rsid w:val="00FD3796"/>
    <w:rsid w:val="00FD3DB9"/>
    <w:rsid w:val="00FD3F35"/>
    <w:rsid w:val="00FD50D7"/>
    <w:rsid w:val="00FD5846"/>
    <w:rsid w:val="00FD6334"/>
    <w:rsid w:val="00FD6603"/>
    <w:rsid w:val="00FD68B9"/>
    <w:rsid w:val="00FE0707"/>
    <w:rsid w:val="00FE0E70"/>
    <w:rsid w:val="00FE1A63"/>
    <w:rsid w:val="00FE35BD"/>
    <w:rsid w:val="00FE4CF5"/>
    <w:rsid w:val="00FE4EC4"/>
    <w:rsid w:val="00FE4ED2"/>
    <w:rsid w:val="00FE501F"/>
    <w:rsid w:val="00FE58EF"/>
    <w:rsid w:val="00FE78A0"/>
    <w:rsid w:val="00FF1135"/>
    <w:rsid w:val="00FF1D95"/>
    <w:rsid w:val="00FF2198"/>
    <w:rsid w:val="00FF2920"/>
    <w:rsid w:val="00FF2928"/>
    <w:rsid w:val="00FF2A99"/>
    <w:rsid w:val="00FF2D73"/>
    <w:rsid w:val="00FF3236"/>
    <w:rsid w:val="00FF378C"/>
    <w:rsid w:val="00FF3DAA"/>
    <w:rsid w:val="00FF3F07"/>
    <w:rsid w:val="00FF495E"/>
    <w:rsid w:val="00FF4C9E"/>
    <w:rsid w:val="00FF531E"/>
    <w:rsid w:val="00FF6654"/>
    <w:rsid w:val="00FF6AA6"/>
    <w:rsid w:val="00FF7777"/>
    <w:rsid w:val="0244DE60"/>
    <w:rsid w:val="034985CE"/>
    <w:rsid w:val="0359A6CF"/>
    <w:rsid w:val="0530DDE4"/>
    <w:rsid w:val="05B0F223"/>
    <w:rsid w:val="073EA6FE"/>
    <w:rsid w:val="07903E84"/>
    <w:rsid w:val="07ADEAB4"/>
    <w:rsid w:val="0A558829"/>
    <w:rsid w:val="0A70225B"/>
    <w:rsid w:val="0B190C6D"/>
    <w:rsid w:val="0DB08C00"/>
    <w:rsid w:val="0E282E90"/>
    <w:rsid w:val="0E8048EB"/>
    <w:rsid w:val="0F43DC91"/>
    <w:rsid w:val="10EAD09E"/>
    <w:rsid w:val="115C638D"/>
    <w:rsid w:val="11A823F9"/>
    <w:rsid w:val="11FF7150"/>
    <w:rsid w:val="12210A89"/>
    <w:rsid w:val="128423C7"/>
    <w:rsid w:val="128A309F"/>
    <w:rsid w:val="12E5A970"/>
    <w:rsid w:val="14B028E4"/>
    <w:rsid w:val="15A81D27"/>
    <w:rsid w:val="16C025E9"/>
    <w:rsid w:val="16C10090"/>
    <w:rsid w:val="16FE8F38"/>
    <w:rsid w:val="1787FE85"/>
    <w:rsid w:val="17CAF57B"/>
    <w:rsid w:val="17F189E1"/>
    <w:rsid w:val="18C2CB56"/>
    <w:rsid w:val="1939C1B4"/>
    <w:rsid w:val="19A41BEB"/>
    <w:rsid w:val="1AC2FD9B"/>
    <w:rsid w:val="1BA87D3E"/>
    <w:rsid w:val="1C45BFFA"/>
    <w:rsid w:val="1C5467E2"/>
    <w:rsid w:val="1CC2DD8D"/>
    <w:rsid w:val="1CD614EC"/>
    <w:rsid w:val="1CD81A45"/>
    <w:rsid w:val="1D2FCB48"/>
    <w:rsid w:val="1D3B46F1"/>
    <w:rsid w:val="1D5550E2"/>
    <w:rsid w:val="1DCD9185"/>
    <w:rsid w:val="1E2BE1B4"/>
    <w:rsid w:val="1E3DB6DE"/>
    <w:rsid w:val="1E49D27E"/>
    <w:rsid w:val="206F1AC1"/>
    <w:rsid w:val="20AA66B3"/>
    <w:rsid w:val="20C8E454"/>
    <w:rsid w:val="210FFC20"/>
    <w:rsid w:val="215325D5"/>
    <w:rsid w:val="21CA8ED8"/>
    <w:rsid w:val="22891B04"/>
    <w:rsid w:val="22BBF694"/>
    <w:rsid w:val="235FBB47"/>
    <w:rsid w:val="23A53AFE"/>
    <w:rsid w:val="24A8E216"/>
    <w:rsid w:val="257C12A5"/>
    <w:rsid w:val="26BA8C5F"/>
    <w:rsid w:val="27BDD6BD"/>
    <w:rsid w:val="280EC9EB"/>
    <w:rsid w:val="2900B8DD"/>
    <w:rsid w:val="2AFE0E8E"/>
    <w:rsid w:val="2C416738"/>
    <w:rsid w:val="2D9010CC"/>
    <w:rsid w:val="2E0C802F"/>
    <w:rsid w:val="2E5547FA"/>
    <w:rsid w:val="2E8E9E27"/>
    <w:rsid w:val="2F58F97B"/>
    <w:rsid w:val="2F9ED2BD"/>
    <w:rsid w:val="30309B59"/>
    <w:rsid w:val="31179C7C"/>
    <w:rsid w:val="324DD668"/>
    <w:rsid w:val="327DC8C4"/>
    <w:rsid w:val="34546EF3"/>
    <w:rsid w:val="34ACB4CF"/>
    <w:rsid w:val="35A6F5E1"/>
    <w:rsid w:val="35E65EE0"/>
    <w:rsid w:val="3699683C"/>
    <w:rsid w:val="36D02BC2"/>
    <w:rsid w:val="3738AB65"/>
    <w:rsid w:val="3773D8BE"/>
    <w:rsid w:val="37EE917B"/>
    <w:rsid w:val="38BAF282"/>
    <w:rsid w:val="390A2849"/>
    <w:rsid w:val="392F4DEE"/>
    <w:rsid w:val="395121BA"/>
    <w:rsid w:val="3A5D65A5"/>
    <w:rsid w:val="3A8C206B"/>
    <w:rsid w:val="3BCC0360"/>
    <w:rsid w:val="3BE277BD"/>
    <w:rsid w:val="3C728F05"/>
    <w:rsid w:val="3D6B6882"/>
    <w:rsid w:val="3DDEB9C5"/>
    <w:rsid w:val="3EC558AE"/>
    <w:rsid w:val="3FA43A51"/>
    <w:rsid w:val="40120B60"/>
    <w:rsid w:val="4117DACE"/>
    <w:rsid w:val="430433CB"/>
    <w:rsid w:val="4350417B"/>
    <w:rsid w:val="43A73408"/>
    <w:rsid w:val="43DD0635"/>
    <w:rsid w:val="43EA7410"/>
    <w:rsid w:val="447CBF9A"/>
    <w:rsid w:val="44CCD46E"/>
    <w:rsid w:val="4616DB44"/>
    <w:rsid w:val="4639F089"/>
    <w:rsid w:val="464BD10B"/>
    <w:rsid w:val="47C6C56E"/>
    <w:rsid w:val="47F0435E"/>
    <w:rsid w:val="487D8966"/>
    <w:rsid w:val="48BA5123"/>
    <w:rsid w:val="48C71004"/>
    <w:rsid w:val="4B1972F0"/>
    <w:rsid w:val="4BF84CE9"/>
    <w:rsid w:val="4C5562FC"/>
    <w:rsid w:val="4CE2F44A"/>
    <w:rsid w:val="4CF17794"/>
    <w:rsid w:val="4CFF1139"/>
    <w:rsid w:val="4D474270"/>
    <w:rsid w:val="4E44CA08"/>
    <w:rsid w:val="4FC3470B"/>
    <w:rsid w:val="50A3D8B9"/>
    <w:rsid w:val="5123EAFC"/>
    <w:rsid w:val="5196DDB1"/>
    <w:rsid w:val="52C738CF"/>
    <w:rsid w:val="53328157"/>
    <w:rsid w:val="53F2ACA1"/>
    <w:rsid w:val="54A63C42"/>
    <w:rsid w:val="5533348B"/>
    <w:rsid w:val="5638EFA6"/>
    <w:rsid w:val="569AB597"/>
    <w:rsid w:val="56E29F20"/>
    <w:rsid w:val="57104A8E"/>
    <w:rsid w:val="5728A484"/>
    <w:rsid w:val="57536C85"/>
    <w:rsid w:val="5762FA74"/>
    <w:rsid w:val="576AE0AC"/>
    <w:rsid w:val="576F3EC3"/>
    <w:rsid w:val="57E639DC"/>
    <w:rsid w:val="5860B0D6"/>
    <w:rsid w:val="58DCDD80"/>
    <w:rsid w:val="59216EB6"/>
    <w:rsid w:val="5A03000F"/>
    <w:rsid w:val="5B91EF73"/>
    <w:rsid w:val="5BCDEBF5"/>
    <w:rsid w:val="5D484B2E"/>
    <w:rsid w:val="5DE5FE0E"/>
    <w:rsid w:val="5E3B5541"/>
    <w:rsid w:val="5F057DCE"/>
    <w:rsid w:val="5F2E9711"/>
    <w:rsid w:val="5F730D41"/>
    <w:rsid w:val="6051DA99"/>
    <w:rsid w:val="61FA3AB9"/>
    <w:rsid w:val="625C6AF0"/>
    <w:rsid w:val="62FC598C"/>
    <w:rsid w:val="6361CBBD"/>
    <w:rsid w:val="662BD2F2"/>
    <w:rsid w:val="66A2868B"/>
    <w:rsid w:val="67CE2879"/>
    <w:rsid w:val="68BA4BAC"/>
    <w:rsid w:val="68F0E207"/>
    <w:rsid w:val="69A4EA56"/>
    <w:rsid w:val="6A486860"/>
    <w:rsid w:val="6B4BB6E8"/>
    <w:rsid w:val="6D09A807"/>
    <w:rsid w:val="6D1B2F7D"/>
    <w:rsid w:val="6D28F473"/>
    <w:rsid w:val="6D643668"/>
    <w:rsid w:val="6E7DCFB9"/>
    <w:rsid w:val="6E86DCF7"/>
    <w:rsid w:val="6F25881B"/>
    <w:rsid w:val="6F66F48D"/>
    <w:rsid w:val="6F8A4BCE"/>
    <w:rsid w:val="6FA22770"/>
    <w:rsid w:val="7011E150"/>
    <w:rsid w:val="70B9D8B0"/>
    <w:rsid w:val="70BA92C5"/>
    <w:rsid w:val="715654C9"/>
    <w:rsid w:val="71F07D0C"/>
    <w:rsid w:val="732F1DB7"/>
    <w:rsid w:val="733F9CCD"/>
    <w:rsid w:val="7485C92D"/>
    <w:rsid w:val="7566F8DD"/>
    <w:rsid w:val="75E1CB5F"/>
    <w:rsid w:val="761673C0"/>
    <w:rsid w:val="761DF42B"/>
    <w:rsid w:val="76383949"/>
    <w:rsid w:val="77061E5D"/>
    <w:rsid w:val="772FA417"/>
    <w:rsid w:val="79E820AA"/>
    <w:rsid w:val="7A2DDF21"/>
    <w:rsid w:val="7ABFAEC2"/>
    <w:rsid w:val="7BD55980"/>
    <w:rsid w:val="7D1BFC1D"/>
    <w:rsid w:val="7D5851C9"/>
    <w:rsid w:val="7E256CA2"/>
    <w:rsid w:val="7E25B4DD"/>
    <w:rsid w:val="7E5B4F78"/>
    <w:rsid w:val="7F3309EC"/>
    <w:rsid w:val="7FAEB9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A913C07"/>
  <w15:chartTrackingRefBased/>
  <w15:docId w15:val="{5938307A-0547-472B-99B9-75069FD56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A46"/>
  </w:style>
  <w:style w:type="paragraph" w:styleId="Heading1">
    <w:name w:val="heading 1"/>
    <w:basedOn w:val="Normal"/>
    <w:next w:val="Normal"/>
    <w:link w:val="Heading1Char"/>
    <w:uiPriority w:val="9"/>
    <w:qFormat/>
    <w:rsid w:val="002128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28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28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8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8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8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28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28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8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8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8CA"/>
    <w:rPr>
      <w:rFonts w:eastAsiaTheme="majorEastAsia" w:cstheme="majorBidi"/>
      <w:color w:val="272727" w:themeColor="text1" w:themeTint="D8"/>
    </w:rPr>
  </w:style>
  <w:style w:type="paragraph" w:styleId="Title">
    <w:name w:val="Title"/>
    <w:basedOn w:val="Normal"/>
    <w:next w:val="Normal"/>
    <w:link w:val="TitleChar"/>
    <w:uiPriority w:val="10"/>
    <w:qFormat/>
    <w:rsid w:val="00212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8CA"/>
    <w:pPr>
      <w:spacing w:before="160"/>
      <w:jc w:val="center"/>
    </w:pPr>
    <w:rPr>
      <w:i/>
      <w:iCs/>
      <w:color w:val="404040" w:themeColor="text1" w:themeTint="BF"/>
    </w:rPr>
  </w:style>
  <w:style w:type="character" w:customStyle="1" w:styleId="QuoteChar">
    <w:name w:val="Quote Char"/>
    <w:basedOn w:val="DefaultParagraphFont"/>
    <w:link w:val="Quote"/>
    <w:uiPriority w:val="29"/>
    <w:rsid w:val="002128CA"/>
    <w:rPr>
      <w:i/>
      <w:iCs/>
      <w:color w:val="404040" w:themeColor="text1" w:themeTint="BF"/>
    </w:rPr>
  </w:style>
  <w:style w:type="paragraph" w:styleId="ListParagraph">
    <w:name w:val="List Paragraph"/>
    <w:basedOn w:val="Normal"/>
    <w:uiPriority w:val="34"/>
    <w:qFormat/>
    <w:rsid w:val="002128CA"/>
    <w:pPr>
      <w:ind w:left="720"/>
      <w:contextualSpacing/>
    </w:pPr>
  </w:style>
  <w:style w:type="character" w:styleId="IntenseEmphasis">
    <w:name w:val="Intense Emphasis"/>
    <w:basedOn w:val="DefaultParagraphFont"/>
    <w:uiPriority w:val="21"/>
    <w:qFormat/>
    <w:rsid w:val="002128CA"/>
    <w:rPr>
      <w:i/>
      <w:iCs/>
      <w:color w:val="0F4761" w:themeColor="accent1" w:themeShade="BF"/>
    </w:rPr>
  </w:style>
  <w:style w:type="paragraph" w:styleId="IntenseQuote">
    <w:name w:val="Intense Quote"/>
    <w:basedOn w:val="Normal"/>
    <w:next w:val="Normal"/>
    <w:link w:val="IntenseQuoteChar"/>
    <w:uiPriority w:val="30"/>
    <w:qFormat/>
    <w:rsid w:val="00212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8CA"/>
    <w:rPr>
      <w:i/>
      <w:iCs/>
      <w:color w:val="0F4761" w:themeColor="accent1" w:themeShade="BF"/>
    </w:rPr>
  </w:style>
  <w:style w:type="character" w:styleId="IntenseReference">
    <w:name w:val="Intense Reference"/>
    <w:basedOn w:val="DefaultParagraphFont"/>
    <w:uiPriority w:val="32"/>
    <w:qFormat/>
    <w:rsid w:val="002128CA"/>
    <w:rPr>
      <w:b/>
      <w:bCs/>
      <w:smallCaps/>
      <w:color w:val="0F4761" w:themeColor="accent1" w:themeShade="BF"/>
      <w:spacing w:val="5"/>
    </w:rPr>
  </w:style>
  <w:style w:type="character" w:styleId="Hyperlink">
    <w:name w:val="Hyperlink"/>
    <w:basedOn w:val="DefaultParagraphFont"/>
    <w:uiPriority w:val="99"/>
    <w:unhideWhenUsed/>
    <w:rsid w:val="00333348"/>
    <w:rPr>
      <w:color w:val="467886" w:themeColor="hyperlink"/>
      <w:u w:val="single"/>
    </w:rPr>
  </w:style>
  <w:style w:type="character" w:styleId="UnresolvedMention">
    <w:name w:val="Unresolved Mention"/>
    <w:basedOn w:val="DefaultParagraphFont"/>
    <w:uiPriority w:val="99"/>
    <w:semiHidden/>
    <w:unhideWhenUsed/>
    <w:rsid w:val="00333348"/>
    <w:rPr>
      <w:color w:val="605E5C"/>
      <w:shd w:val="clear" w:color="auto" w:fill="E1DFDD"/>
    </w:rPr>
  </w:style>
  <w:style w:type="character" w:styleId="CommentReference">
    <w:name w:val="annotation reference"/>
    <w:basedOn w:val="DefaultParagraphFont"/>
    <w:uiPriority w:val="99"/>
    <w:semiHidden/>
    <w:unhideWhenUsed/>
    <w:rsid w:val="006C7C7D"/>
    <w:rPr>
      <w:sz w:val="16"/>
      <w:szCs w:val="16"/>
    </w:rPr>
  </w:style>
  <w:style w:type="paragraph" w:styleId="CommentText">
    <w:name w:val="annotation text"/>
    <w:basedOn w:val="Normal"/>
    <w:link w:val="CommentTextChar"/>
    <w:uiPriority w:val="99"/>
    <w:unhideWhenUsed/>
    <w:rsid w:val="006C7C7D"/>
    <w:pPr>
      <w:spacing w:line="240" w:lineRule="auto"/>
    </w:pPr>
    <w:rPr>
      <w:sz w:val="20"/>
      <w:szCs w:val="20"/>
    </w:rPr>
  </w:style>
  <w:style w:type="character" w:customStyle="1" w:styleId="CommentTextChar">
    <w:name w:val="Comment Text Char"/>
    <w:basedOn w:val="DefaultParagraphFont"/>
    <w:link w:val="CommentText"/>
    <w:uiPriority w:val="99"/>
    <w:rsid w:val="006C7C7D"/>
    <w:rPr>
      <w:sz w:val="20"/>
      <w:szCs w:val="20"/>
    </w:rPr>
  </w:style>
  <w:style w:type="paragraph" w:styleId="CommentSubject">
    <w:name w:val="annotation subject"/>
    <w:basedOn w:val="CommentText"/>
    <w:next w:val="CommentText"/>
    <w:link w:val="CommentSubjectChar"/>
    <w:uiPriority w:val="99"/>
    <w:semiHidden/>
    <w:unhideWhenUsed/>
    <w:rsid w:val="006C7C7D"/>
    <w:rPr>
      <w:b/>
      <w:bCs/>
    </w:rPr>
  </w:style>
  <w:style w:type="character" w:customStyle="1" w:styleId="CommentSubjectChar">
    <w:name w:val="Comment Subject Char"/>
    <w:basedOn w:val="CommentTextChar"/>
    <w:link w:val="CommentSubject"/>
    <w:uiPriority w:val="99"/>
    <w:semiHidden/>
    <w:rsid w:val="006C7C7D"/>
    <w:rPr>
      <w:b/>
      <w:bCs/>
      <w:sz w:val="20"/>
      <w:szCs w:val="20"/>
    </w:rPr>
  </w:style>
  <w:style w:type="paragraph" w:styleId="Revision">
    <w:name w:val="Revision"/>
    <w:hidden/>
    <w:uiPriority w:val="99"/>
    <w:semiHidden/>
    <w:rsid w:val="00E56C2B"/>
    <w:pPr>
      <w:spacing w:after="0" w:line="240" w:lineRule="auto"/>
    </w:pPr>
  </w:style>
  <w:style w:type="paragraph" w:styleId="NormalWeb">
    <w:name w:val="Normal (Web)"/>
    <w:basedOn w:val="Normal"/>
    <w:uiPriority w:val="99"/>
    <w:semiHidden/>
    <w:unhideWhenUsed/>
    <w:rsid w:val="00F506A3"/>
    <w:rPr>
      <w:rFonts w:ascii="Times New Roman" w:hAnsi="Times New Roman" w:cs="Times New Roman"/>
    </w:rPr>
  </w:style>
  <w:style w:type="paragraph" w:styleId="Header">
    <w:name w:val="header"/>
    <w:basedOn w:val="Normal"/>
    <w:link w:val="HeaderChar"/>
    <w:uiPriority w:val="99"/>
    <w:unhideWhenUsed/>
    <w:rsid w:val="009213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1326"/>
  </w:style>
  <w:style w:type="paragraph" w:styleId="Footer">
    <w:name w:val="footer"/>
    <w:basedOn w:val="Normal"/>
    <w:link w:val="FooterChar"/>
    <w:uiPriority w:val="99"/>
    <w:unhideWhenUsed/>
    <w:rsid w:val="009213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326"/>
  </w:style>
  <w:style w:type="character" w:styleId="Mention">
    <w:name w:val="Mention"/>
    <w:basedOn w:val="DefaultParagraphFont"/>
    <w:uiPriority w:val="99"/>
    <w:unhideWhenUsed/>
    <w:rsid w:val="00B76957"/>
    <w:rPr>
      <w:color w:val="2B579A"/>
      <w:shd w:val="clear" w:color="auto" w:fill="E1DFDD"/>
    </w:rPr>
  </w:style>
  <w:style w:type="paragraph" w:styleId="FootnoteText">
    <w:name w:val="footnote text"/>
    <w:basedOn w:val="Normal"/>
    <w:link w:val="FootnoteTextChar"/>
    <w:uiPriority w:val="99"/>
    <w:semiHidden/>
    <w:unhideWhenUsed/>
    <w:rsid w:val="003534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347E"/>
    <w:rPr>
      <w:sz w:val="20"/>
      <w:szCs w:val="20"/>
    </w:rPr>
  </w:style>
  <w:style w:type="character" w:styleId="FootnoteReference">
    <w:name w:val="footnote reference"/>
    <w:basedOn w:val="DefaultParagraphFont"/>
    <w:uiPriority w:val="99"/>
    <w:semiHidden/>
    <w:unhideWhenUsed/>
    <w:rsid w:val="0035347E"/>
    <w:rPr>
      <w:vertAlign w:val="superscript"/>
    </w:rPr>
  </w:style>
  <w:style w:type="paragraph" w:customStyle="1" w:styleId="msonormal0">
    <w:name w:val="msonormal"/>
    <w:basedOn w:val="Normal"/>
    <w:rsid w:val="00BA59E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BA59E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BA59EF"/>
  </w:style>
  <w:style w:type="character" w:customStyle="1" w:styleId="normaltextrun">
    <w:name w:val="normaltextrun"/>
    <w:basedOn w:val="DefaultParagraphFont"/>
    <w:rsid w:val="00BA59EF"/>
  </w:style>
  <w:style w:type="character" w:customStyle="1" w:styleId="eop">
    <w:name w:val="eop"/>
    <w:basedOn w:val="DefaultParagraphFont"/>
    <w:rsid w:val="00BA59EF"/>
  </w:style>
  <w:style w:type="paragraph" w:customStyle="1" w:styleId="outlineelement">
    <w:name w:val="outlineelement"/>
    <w:basedOn w:val="Normal"/>
    <w:rsid w:val="00BA59E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abrun">
    <w:name w:val="tabrun"/>
    <w:basedOn w:val="DefaultParagraphFont"/>
    <w:rsid w:val="00BA59EF"/>
  </w:style>
  <w:style w:type="character" w:customStyle="1" w:styleId="tabchar">
    <w:name w:val="tabchar"/>
    <w:basedOn w:val="DefaultParagraphFont"/>
    <w:rsid w:val="00BA59EF"/>
  </w:style>
  <w:style w:type="numbering" w:customStyle="1" w:styleId="NoList1">
    <w:name w:val="No List1"/>
    <w:next w:val="NoList"/>
    <w:uiPriority w:val="99"/>
    <w:semiHidden/>
    <w:unhideWhenUsed/>
    <w:rsid w:val="00123CCC"/>
  </w:style>
  <w:style w:type="table" w:styleId="TableGrid">
    <w:name w:val="Table Grid"/>
    <w:basedOn w:val="TableNormal"/>
    <w:uiPriority w:val="39"/>
    <w:rsid w:val="00015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6F4CC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g15.london"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394f45-3317-4c93-a73a-75dbbbbf9b02">
      <Terms xmlns="http://schemas.microsoft.com/office/infopath/2007/PartnerControls"/>
    </lcf76f155ced4ddcb4097134ff3c332f>
    <TaxCatchAll xmlns="e31ad169-fb2e-44a3-a97e-f8d4531314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69BA2C49D21B40AF269B8A6E70A117" ma:contentTypeVersion="17" ma:contentTypeDescription="Create a new document." ma:contentTypeScope="" ma:versionID="503ddab5d4eb583b09d7e50aa104bbaa">
  <xsd:schema xmlns:xsd="http://www.w3.org/2001/XMLSchema" xmlns:xs="http://www.w3.org/2001/XMLSchema" xmlns:p="http://schemas.microsoft.com/office/2006/metadata/properties" xmlns:ns2="de394f45-3317-4c93-a73a-75dbbbbf9b02" xmlns:ns3="e31ad169-fb2e-44a3-a97e-f8d4531314ff" xmlns:ns4="bbf6a5a2-b937-4ba2-827b-86d4bfedef7e" targetNamespace="http://schemas.microsoft.com/office/2006/metadata/properties" ma:root="true" ma:fieldsID="eb3d2203eb043413461849feee61379b" ns2:_="" ns3:_="" ns4:_="">
    <xsd:import namespace="de394f45-3317-4c93-a73a-75dbbbbf9b02"/>
    <xsd:import namespace="e31ad169-fb2e-44a3-a97e-f8d4531314ff"/>
    <xsd:import namespace="bbf6a5a2-b937-4ba2-827b-86d4bfedef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94f45-3317-4c93-a73a-75dbbbbf9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1ad169-fb2e-44a3-a97e-f8d4531314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18f770-7f28-40fa-a4ad-e08d1d2cbe1d}" ma:internalName="TaxCatchAll" ma:showField="CatchAllData" ma:web="bbf6a5a2-b937-4ba2-827b-86d4bfedef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6a5a2-b937-4ba2-827b-86d4bfedef7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DABD6E-2A06-4176-818B-29A8B7C4E38C}">
  <ds:schemaRefs>
    <ds:schemaRef ds:uri="http://schemas.microsoft.com/sharepoint/v3/contenttype/forms"/>
  </ds:schemaRefs>
</ds:datastoreItem>
</file>

<file path=customXml/itemProps2.xml><?xml version="1.0" encoding="utf-8"?>
<ds:datastoreItem xmlns:ds="http://schemas.openxmlformats.org/officeDocument/2006/customXml" ds:itemID="{D2916565-E078-470F-A293-000D04E34F52}">
  <ds:schemaRefs>
    <ds:schemaRef ds:uri="http://schemas.microsoft.com/office/2006/metadata/properties"/>
    <ds:schemaRef ds:uri="http://schemas.microsoft.com/office/infopath/2007/PartnerControls"/>
    <ds:schemaRef ds:uri="de394f45-3317-4c93-a73a-75dbbbbf9b02"/>
    <ds:schemaRef ds:uri="e31ad169-fb2e-44a3-a97e-f8d4531314ff"/>
  </ds:schemaRefs>
</ds:datastoreItem>
</file>

<file path=customXml/itemProps3.xml><?xml version="1.0" encoding="utf-8"?>
<ds:datastoreItem xmlns:ds="http://schemas.openxmlformats.org/officeDocument/2006/customXml" ds:itemID="{4791203A-80B2-4982-BBF0-93F773956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94f45-3317-4c93-a73a-75dbbbbf9b02"/>
    <ds:schemaRef ds:uri="e31ad169-fb2e-44a3-a97e-f8d4531314ff"/>
    <ds:schemaRef ds:uri="bbf6a5a2-b937-4ba2-827b-86d4bfede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0061d0d-9e45-4dee-b46c-554ea962cf50}" enabled="0" method="" siteId="{a0061d0d-9e45-4dee-b46c-554ea962cf50}" removed="1"/>
</clbl:labelList>
</file>

<file path=docProps/app.xml><?xml version="1.0" encoding="utf-8"?>
<Properties xmlns="http://schemas.openxmlformats.org/officeDocument/2006/extended-properties" xmlns:vt="http://schemas.openxmlformats.org/officeDocument/2006/docPropsVTypes">
  <Template>Normal.dotm</Template>
  <TotalTime>383</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Nyathi</dc:creator>
  <cp:keywords/>
  <dc:description/>
  <cp:lastModifiedBy>Brandon Nyathi</cp:lastModifiedBy>
  <cp:revision>66</cp:revision>
  <dcterms:created xsi:type="dcterms:W3CDTF">2026-03-12T09:47:00Z</dcterms:created>
  <dcterms:modified xsi:type="dcterms:W3CDTF">2026-10-01T09:30:00Z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0x010100CD69BA2C49D21B40AF269B8A6E70A117</vt:lpwstr>
  </property>
  <property fmtid="{D5CDD505-2E9C-101B-9397-08002B2CF9AE}" pid="3" name="MediaServiceImageTags">
    <vt:lpwstr/>
  </property>
  <property fmtid="{D5CDD505-2E9C-101B-9397-08002B2CF9AE}" pid="4" name="GrammarlyDocumentId">
    <vt:lpwstr>25bdd5d8-2bb9-4bc5-ac84-bb3f402965d7</vt:lpwstr>
  </property>
</Properties>
</file>